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58 mm x 167 mm x 118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3,7 W W</w:t>
      </w:r>
    </w:p>
    <w:p>
      <w:pPr/>
      <w:r>
        <w:rPr/>
        <w:t xml:space="preserve">Puissance en mode veille: 1,9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AIR003SC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DBA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2025-09-05T13:33:28+02:00</dcterms:created>
  <dcterms:modified xsi:type="dcterms:W3CDTF">2025-09-05T13:33:28+02:00</dcterms:modified>
</cp:coreProperties>
</file>

<file path=docProps/custom.xml><?xml version="1.0" encoding="utf-8"?>
<Properties xmlns="http://schemas.openxmlformats.org/officeDocument/2006/custom-properties" xmlns:vt="http://schemas.openxmlformats.org/officeDocument/2006/docPropsVTypes"/>
</file>