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RAL 7016</w:t>
      </w:r>
    </w:p>
    <w:p>
      <w:pPr/>
      <w:r>
        <w:rPr/>
        <w:t xml:space="preserve">Dimensions: 20 mm x 90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1,9 W W</w:t>
      </w:r>
    </w:p>
    <w:p>
      <w:pPr/>
      <w:r>
        <w:rPr/>
        <w:t xml:space="preserve">Puissance en mode veille: 0 W W</w:t>
      </w:r>
    </w:p>
    <w:p>
      <w:pPr/>
      <w:r>
        <w:rPr/>
        <w:t xml:space="preserve">Flux lumineux en mode de secours: 140 lm lm</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WER029-AZ</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2026-11-08T07:31:56+01:00</dcterms:created>
  <dcterms:modified xsi:type="dcterms:W3CDTF">2026-11-08T07:31:56+01:00</dcterms:modified>
</cp:coreProperties>
</file>

<file path=docProps/custom.xml><?xml version="1.0" encoding="utf-8"?>
<Properties xmlns="http://schemas.openxmlformats.org/officeDocument/2006/custom-properties" xmlns:vt="http://schemas.openxmlformats.org/officeDocument/2006/docPropsVTypes"/>
</file>