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30 °C °C</w:t>
      </w:r>
    </w:p>
    <w:p>
      <w:pPr/>
      <w:r>
        <w:rPr/>
        <w:t xml:space="preserve">Pictogramme: Nein</w:t>
      </w:r>
    </w:p>
    <w:p>
      <w:pPr/>
    </w:p>
    <w:p>
      <w:pPr/>
      <w:r>
        <w:rPr/>
        <w:t xml:space="preserve">Puissance en mode continu: 1,8 W W</w:t>
      </w:r>
    </w:p>
    <w:p>
      <w:pPr/>
      <w:r>
        <w:rPr/>
        <w:t xml:space="preserve">Puissance en mode veille: 0,18 W W</w:t>
      </w:r>
    </w:p>
    <w:p>
      <w:pPr/>
      <w:r>
        <w:rPr/>
        <w:t xml:space="preserve">Flux lumineux en mode de secours: 110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EAQS028SC-AZ</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ABD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2026-07-26T05:52:41+02:00</dcterms:created>
  <dcterms:modified xsi:type="dcterms:W3CDTF">2026-07-26T05:52:41+02:00</dcterms:modified>
</cp:coreProperties>
</file>

<file path=docProps/custom.xml><?xml version="1.0" encoding="utf-8"?>
<Properties xmlns="http://schemas.openxmlformats.org/officeDocument/2006/custom-properties" xmlns:vt="http://schemas.openxmlformats.org/officeDocument/2006/docPropsVTypes"/>
</file>