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rond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s'adapter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104 mm</w:t>
      </w:r>
    </w:p>
    <w:p>
      <w:pPr/>
    </w:p>
    <w:p>
      <w:pPr/>
      <w:r>
        <w:rPr/>
        <w:t xml:space="preserve">Classe de protection: 2</w:t>
      </w:r>
    </w:p>
    <w:p>
      <w:pPr/>
      <w:r>
        <w:rPr/>
        <w:t xml:space="preserve">Indice de protection (IP): IP 40</w:t>
      </w:r>
    </w:p>
    <w:p>
      <w:pPr/>
      <w:r>
        <w:rPr/>
        <w:t xml:space="preserve">Degré de résistance aux chocs IK: IK ≥ 3</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110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EARS028SC-AZ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928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2026-07-26T05:33:55+02:00</dcterms:created>
  <dcterms:modified xsi:type="dcterms:W3CDTF">2026-07-26T05:33:55+02:00</dcterms:modified>
</cp:coreProperties>
</file>

<file path=docProps/custom.xml><?xml version="1.0" encoding="utf-8"?>
<Properties xmlns="http://schemas.openxmlformats.org/officeDocument/2006/custom-properties" xmlns:vt="http://schemas.openxmlformats.org/officeDocument/2006/docPropsVTypes"/>
</file>