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avec commutateur d'adressage à 20 positions, pour un fonctionnement sur une installation à système centrale. Système de contrôle automatique conforme à la norme DIN EN 62034 type ER, en combinaison avec une installation de type MultiControl. Fonctions à respecter obligatoirement :</w:t>
      </w:r>
    </w:p>
    <w:p>
      <w:pPr>
        <w:numPr>
          <w:ilvl w:val="0"/>
          <w:numId w:val="2"/>
        </w:numPr>
      </w:pPr>
      <w:r>
        <w:rPr/>
        <w:t xml:space="preserve">Surveillance intégrée des luminaires individuels</w:t>
      </w:r>
    </w:p>
    <w:p>
      <w:pPr>
        <w:numPr>
          <w:ilvl w:val="0"/>
          <w:numId w:val="2"/>
        </w:numPr>
      </w:pPr>
      <w:r>
        <w:rPr/>
        <w:t xml:space="preserve">Fonction de gestionnaire de luminaires intégrée</w:t>
      </w:r>
    </w:p>
    <w:p>
      <w:pPr>
        <w:numPr>
          <w:ilvl w:val="0"/>
          <w:numId w:val="2"/>
        </w:numPr>
      </w:pPr>
      <w:r>
        <w:rPr/>
        <w:t xml:space="preserve">Possibilité de commutation individuelle en combinaison avec RP ELS - installation à système centrale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170 mm x 340 mm x 60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64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5,2 W W</w:t>
      </w:r>
    </w:p>
    <w:p>
      <w:pPr/>
      <w:r>
        <w:rPr/>
        <w:t xml:space="preserve">Puissance en mode veille: 1,1 W W</w:t>
      </w:r>
    </w:p>
    <w:p>
      <w:pPr/>
      <w:r>
        <w:rPr/>
        <w:t xml:space="preserve">Flux lumineux en mode de secours: 300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KCW019ML-P-IP64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C2A34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2026-07-21T06:56:07+02:00</dcterms:created>
  <dcterms:modified xsi:type="dcterms:W3CDTF">2026-07-21T06:56:07+02:00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