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RAL 5010</w:t>
      </w:r>
    </w:p>
    <w:p>
      <w:pPr/>
      <w:r>
        <w:rPr/>
        <w:t xml:space="preserve">Dimensions: 485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Flux lumineux en mode de secours: 2100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XPIU019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2026-07-15T05:29:51+02:00</dcterms:created>
  <dcterms:modified xsi:type="dcterms:W3CDTF">2026-07-15T05:29:51+02:00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