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/ de sécurité conforme aux normes DIN EN 60598-1, DIN EN 60598-2-22 et DIN EN 1838. </w:t>
      </w:r>
      <w:br/>
      <w:r>
        <w:rPr/>
        <w:t xml:space="preserve">  </w:t>
      </w:r>
      <w:br/>
      <w:r>
        <w:rPr/>
        <w:t xml:space="preserve">Luminaire en plastique mince et convexe pour montage mural. Luminaire à pictogramme avec jeu de pictogrammes enfichables, sans solvant, à l'intérieur (gauche, droite, bas, haut), compris dans la livraison standard. Utilisable simultanément comme luminaire de sécurité sans utilisation des pictogrammes avec le cache transparent inclus. </w:t>
      </w:r>
      <w:br/>
      <w:r>
        <w:rPr/>
        <w:t xml:space="preserve">Éclairage uniforme grâce à un réflecteur orienté et chromé. Convient pour un allumage permanent ou en mode veille.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60 mm x 340 mm x 170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6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30m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4,5 W W</w:t>
      </w:r>
    </w:p>
    <w:p>
      <w:pPr/>
      <w:r>
        <w:rPr/>
        <w:t xml:space="preserve">Puissance en mode veille: 0,35 W W</w:t>
      </w:r>
    </w:p>
    <w:p>
      <w:pPr/>
      <w:r>
        <w:rPr/>
        <w:t xml:space="preserve">Flux lumineux en mode de secours: 300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Numéro d'article: KCW011SC-IP65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BALL2,  </w:t>
      </w:r>
    </w:p>
    <w:p>
      <w:pPr/>
      <w:r>
        <w:rPr/>
        <w:t xml:space="preserve">Numéro d'article: DWKCW, </w:t>
      </w:r>
    </w:p>
    <w:p>
      <w:pPr/>
      <w:r>
        <w:rPr/>
        <w:t xml:space="preserve">Numéro d'article: KC-IP65,  </w:t>
      </w:r>
    </w:p>
    <w:p>
      <w:pPr/>
      <w:r>
        <w:rPr/>
        <w:t xml:space="preserve">Numéro d'article: KCER,  </w:t>
      </w:r>
    </w:p>
    <w:p>
      <w:pPr/>
      <w:r>
        <w:rPr/>
        <w:t xml:space="preserve">Numéro d'article: KCWFH, 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761548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2025-09-05T13:02:44+02:00</dcterms:created>
  <dcterms:modified xsi:type="dcterms:W3CDTF">2025-09-05T13:02:44+02:00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