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LFP3233.01, {{Produkt - BatteryPerformance - BatteryTechnology (P:17:110)}} Batterie</w:t>
      </w:r>
    </w:p>
    <w:p>
      <w:pPr/>
    </w:p>
    <w:p>
      <w:pPr/>
      <w:r>
        <w:rPr/>
        <w:t xml:space="preserve">Numéro d'article: KSC011SC</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r>
        <w:rPr/>
        <w:t xml:space="preserve">Numéro d'article: KME-EB,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0E580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2026-09-30T06:47:15+02:00</dcterms:created>
  <dcterms:modified xsi:type="dcterms:W3CDTF">2026-09-30T06:47:15+02:00</dcterms:modified>
</cp:coreProperties>
</file>

<file path=docProps/custom.xml><?xml version="1.0" encoding="utf-8"?>
<Properties xmlns="http://schemas.openxmlformats.org/officeDocument/2006/custom-properties" xmlns:vt="http://schemas.openxmlformats.org/officeDocument/2006/docPropsVTypes"/>
</file>