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Matériau: Zinc moulé sous pression</w:t>
      </w:r>
    </w:p>
    <w:p>
      <w:pPr/>
      <w:r>
        <w:rPr/>
        <w:t xml:space="preserve">Couleur: RAL 7016</w:t>
      </w:r>
    </w:p>
    <w:p>
      <w:pPr/>
      <w:r>
        <w:rPr/>
        <w:t xml:space="preserve">Dimensions: 20 mm x 161 mm x 107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0 W W</w:t>
      </w:r>
    </w:p>
    <w:p>
      <w:pPr/>
      <w:r>
        <w:rPr/>
        <w:t xml:space="preserve">Flux lumineux en mode de secours: 420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WEF029-AZ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2026-10-21T06:44:29+02:00</dcterms:created>
  <dcterms:modified xsi:type="dcterms:W3CDTF">2026-10-21T06:44:29+02:00</dcterms:modified>
</cp:coreProperties>
</file>

<file path=docProps/custom.xml><?xml version="1.0" encoding="utf-8"?>
<Properties xmlns="http://schemas.openxmlformats.org/officeDocument/2006/custom-properties" xmlns:vt="http://schemas.openxmlformats.org/officeDocument/2006/docPropsVTypes"/>
</file>