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Luminaire à pictogramme / de sécurité conforme aux normes DIN EN 60598-1, DIN EN 60598-2-22 et DIN EN 1838. </w:t>
      </w:r>
      <w:br/>
      <w:r>
        <w:rPr/>
        <w:t xml:space="preserve">  </w:t>
      </w:r>
      <w:br/>
      <w:r>
        <w:rPr/>
        <w:t xml:space="preserve">Luminaire en plastique mince et convexe pour montage mural. Luminaire à pictogramme avec jeu de pictogrammes enfichables, sans solvant, à l'intérieur (gauche, droite, bas, haut), compris dans la livraison standard. Utilisable simultanément comme luminaire de sécurité sans utilisation des pictogrammes avec le cache transparent inclus. </w:t>
      </w:r>
      <w:br/>
      <w:r>
        <w:rPr/>
        <w:t xml:space="preserve">Éclairage uniforme grâce à un réflecteur orienté et chromé. Convient pour un allumage permanent ou en mode veille.</w:t>
      </w:r>
    </w:p>
    <w:p>
      <w:pPr/>
    </w:p>
    <w:p>
      <w:pPr/>
      <w:r>
        <w:rPr/>
        <w:t xml:space="preserve">Surveillance: </w:t>
      </w:r>
    </w:p>
    <w:p>
      <w:pPr/>
      <w:r>
        <w:rPr/>
        <w:t xml:space="preserve">Version avec système de test automatique selon DIN EN 62034 type S, y compris bouton de test SelfControl :</w:t>
      </w:r>
    </w:p>
    <w:p>
      <w:pPr>
        <w:numPr>
          <w:ilvl w:val="0"/>
          <w:numId w:val="2"/>
        </w:numPr>
      </w:pPr>
      <w:r>
        <w:rPr/>
        <w:t xml:space="preserve">Résultats des tests avec analyse des pannes (ampoules, circuit de charge et de batterie) et affichage de l'état (fonctionnement, test de fonctionnement, test d'autonomie) via 3 LED de couleur.</w:t>
      </w:r>
    </w:p>
    <w:p>
      <w:pPr>
        <w:numPr>
          <w:ilvl w:val="0"/>
          <w:numId w:val="2"/>
        </w:numPr>
      </w:pPr>
      <w:r>
        <w:rPr/>
        <w:t xml:space="preserve">Test de fonctionnement automatique (hebdomadaire)</w:t>
      </w:r>
    </w:p>
    <w:p>
      <w:pPr>
        <w:numPr>
          <w:ilvl w:val="0"/>
          <w:numId w:val="2"/>
        </w:numPr>
      </w:pPr>
      <w:r>
        <w:rPr/>
        <w:t xml:space="preserve">Test d'autonomie automatique (tous les 12 mois)</w:t>
      </w:r>
    </w:p>
    <w:p>
      <w:pPr>
        <w:numPr>
          <w:ilvl w:val="0"/>
          <w:numId w:val="2"/>
        </w:numPr>
      </w:pPr>
      <w:r>
        <w:rPr/>
        <w:t xml:space="preserve">Surveillance automatique de la charge</w:t>
      </w:r>
    </w:p>
    <w:p>
      <w:pPr>
        <w:numPr>
          <w:ilvl w:val="0"/>
          <w:numId w:val="2"/>
        </w:numPr>
      </w:pPr>
      <w:r>
        <w:rPr/>
        <w:t xml:space="preserve">Protection contre la décharge totale avec blocage de la remise en marche</w:t>
      </w:r>
    </w:p>
    <w:p>
      <w:pPr>
        <w:numPr>
          <w:ilvl w:val="0"/>
          <w:numId w:val="2"/>
        </w:numPr>
      </w:pPr>
      <w:r>
        <w:rPr/>
        <w:t xml:space="preserve">Coupure à vide et en cas de court-circuit de l'onduleur</w:t>
      </w:r>
    </w:p>
    <w:p>
      <w:pPr/>
      <w:r>
        <w:rPr/>
        <w:t xml:space="preserve">Matériau: Matière plastique</w:t>
      </w:r>
    </w:p>
    <w:p>
      <w:pPr/>
      <w:r>
        <w:rPr/>
        <w:t xml:space="preserve">Couleur: RAL 9003</w:t>
      </w:r>
    </w:p>
    <w:p>
      <w:pPr/>
      <w:r>
        <w:rPr/>
        <w:t xml:space="preserve">Dimensions: 60 mm x 340 mm x 170 mm</w:t>
      </w:r>
    </w:p>
    <w:p>
      <w:pPr/>
    </w:p>
    <w:p>
      <w:pPr/>
      <w:r>
        <w:rPr/>
        <w:t xml:space="preserve">Type de montage: Wandaufbau</w:t>
      </w:r>
    </w:p>
    <w:p>
      <w:pPr/>
      <w:r>
        <w:rPr/>
        <w:t xml:space="preserve">Classe de protection: 2</w:t>
      </w:r>
    </w:p>
    <w:p>
      <w:pPr/>
      <w:r>
        <w:rPr/>
        <w:t xml:space="preserve">Indice de protection (IP): IP 64</w:t>
      </w:r>
    </w:p>
    <w:p>
      <w:pPr/>
      <w:r>
        <w:rPr/>
        <w:t xml:space="preserve">Degré de résistance aux chocs IK: IK 6</w:t>
      </w:r>
    </w:p>
    <w:p>
      <w:pPr/>
      <w:r>
        <w:rPr/>
        <w:t xml:space="preserve">Température permise en mode contenu: -5 °C à 40 °C °C</w:t>
      </w:r>
    </w:p>
    <w:p>
      <w:pPr/>
      <w:r>
        <w:rPr/>
        <w:t xml:space="preserve">Température permise en mode veille: -15 °C à 40 °C °C</w:t>
      </w:r>
    </w:p>
    <w:p>
      <w:pPr/>
      <w:r>
        <w:rPr/>
        <w:t xml:space="preserve">Distance de reconnaissance: 30m m</w:t>
      </w:r>
    </w:p>
    <w:p>
      <w:pPr/>
      <w:r>
        <w:rPr/>
        <w:t xml:space="preserve">Pictogramme: Set</w:t>
      </w:r>
    </w:p>
    <w:p>
      <w:pPr/>
    </w:p>
    <w:p>
      <w:pPr/>
      <w:r>
        <w:rPr/>
        <w:t xml:space="preserve">Puissance en mode continu: 4,5 W W</w:t>
      </w:r>
    </w:p>
    <w:p>
      <w:pPr/>
      <w:r>
        <w:rPr/>
        <w:t xml:space="preserve">Puissance en mode veille: 0,35 W W</w:t>
      </w:r>
    </w:p>
    <w:p>
      <w:pPr/>
      <w:r>
        <w:rPr/>
        <w:t xml:space="preserve">Flux lumineux en mode de secours: 300 lm lm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2.5 mm² mm</w:t>
      </w:r>
    </w:p>
    <w:p>
      <w:pPr/>
    </w:p>
    <w:p>
      <w:pPr/>
      <w:r>
        <w:rPr/>
        <w:t xml:space="preserve">Batterie: NIMHHT4820Q, {{Produkt - BatteryPerformance - BatteryTechnology (P:17:110)}} Batterie</w:t>
      </w:r>
    </w:p>
    <w:p>
      <w:pPr/>
    </w:p>
    <w:p>
      <w:pPr/>
      <w:r>
        <w:rPr/>
        <w:t xml:space="preserve">Numéro d'article: KCW011SC-EHE</w:t>
      </w:r>
    </w:p>
    <w:p>
      <w:pPr/>
    </w:p>
    <w:p>
      <w:pPr/>
      <w:r>
        <w:rPr/>
        <w:t xml:space="preserve">Accessoires:</w:t>
      </w:r>
    </w:p>
    <w:p>
      <w:pPr/>
      <w:r>
        <w:rPr/>
        <w:t xml:space="preserve">Numéro d'article: BALL2,  </w:t>
      </w:r>
    </w:p>
    <w:p>
      <w:pPr/>
      <w:r>
        <w:rPr/>
        <w:t xml:space="preserve">Numéro d'article: DWKCW, </w:t>
      </w:r>
    </w:p>
    <w:p>
      <w:pPr/>
      <w:r>
        <w:rPr/>
        <w:t xml:space="preserve">Numéro d'article: KC-IP65,  </w:t>
      </w:r>
    </w:p>
    <w:p>
      <w:pPr/>
      <w:r>
        <w:rPr/>
        <w:t xml:space="preserve">Numéro d'article: KCER,  </w:t>
      </w:r>
    </w:p>
    <w:p>
      <w:pPr/>
      <w:r>
        <w:rPr/>
        <w:t xml:space="preserve">Numéro d'article: KCWFH,  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676826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2025-09-05T13:02:24+02:00</dcterms:created>
  <dcterms:modified xsi:type="dcterms:W3CDTF">2025-09-05T13:02:24+02:00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