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/><w:t xml:space="preserve">Downlight LED à encastrer, série TAURE. IP54. Boîtier en aluminium, blanc, avec revêtement par poudre. Réflecteur lisse en aluminium. Module de commande commutable ou intensité variable DALI, externe UGR < 19 et compatible avec des écrans selon EN 12464-1. Modèle disponible avec commande Bluetooth CASAMBI®. Compatibilité DC sur demande. Ra > 90 sur demande.</w:t></w:r><w:br/></w:p><w:p><w:pPr/></w:p><w:p><w:pPr/><w:r><w:rPr/><w:t xml:space="preserve">Dimensions:</w:t></w:r></w:p><w:p><w:pPr/><w:r><w:rPr/><w:t xml:space="preserve">Hauteur: 110 mm</w:t></w:r></w:p><w:p><w:pPr/><w:r><w:rPr/><w:t xml:space="preserve">Dimentsions: 226 mm</w:t></w:r></w:p><w:p><w:pPr/></w:p><w:p><w:pPr/><w:r><w:rPr/><w:t xml:space="preserve">Dimensions de l'emballage:</w:t></w:r></w:p><w:p><w:pPr/><w:r><w:rPr/><w:t xml:space="preserve">Largeur: 230 mm</w:t></w:r></w:p><w:p><w:pPr/><w:r><w:rPr/><w:t xml:space="preserve">Hauteur: 120 mm</w:t></w:r></w:p><w:p><w:pPr/><w:r><w:rPr/><w:t xml:space="preserve">Profondeur: 230 mm</w:t></w:r></w:p><w:p><w:pPr/></w:p><w:p><w:pPr/><w:r><w:rPr/><w:t xml:space="preserve">Dimensions de découpe:</w:t></w:r></w:p><w:p><w:pPr/><w:r><w:rPr/><w:t xml:space="preserve">Dimentsions: 210 mm</w:t></w:r></w:p><w:p><w:pPr/></w:p><w:p><w:pPr/><w:r><w:rPr/><w:t xml:space="preserve">Couleur:</w:t></w:r></w:p><w:p><w:pPr/></w:p><w:p><w:pPr/><w:r><w:rPr/><w:t xml:space="preserve">Matériel du bôitier:</w:t></w:r></w:p><w:p><w:pPr/></w:p><w:p><w:pPr/><w:r><w:rPr/><w:t xml:space="preserve">Certification:</w:t></w:r></w:p><w:p><w:pPr/><w:r><w:rPr/><w:t xml:space="preserve">Type de protection (IP) : wert.IngressProtection.IP 54</w:t></w:r></w:p><w:p><w:pPr/></w:p><w:p><w:pPr/><w:r><w:rPr/><w:t xml:space="preserve">Connexion électrique:</w:t></w:r></w:p><w:p><w:pPr/><w:r><w:rPr/><w:t xml:space="preserve">Power maintained: 24 W</w:t></w:r></w:p><w:p><w:pPr/><w:r><w:rPr/><w:t xml:space="preserve">Fréquence d'entrée AC: 220-240V / 50-60Hz V</w:t></w:r></w:p><w:p><w:pPr/></w:p><w:p><w:pPr/><w:r><w:rPr/><w:t xml:space="preserve">Données techniques d'éclairage:</w:t></w:r></w:p><w:p><w:pPr/><w:r><w:rPr/><w:t xml:space="preserve">Source de lumière: wert.LightSource.LED</w:t></w:r></w:p><w:p><w:pPr/><w:r><w:rPr/><w:t xml:space="preserve">Flux lumineux nominal: 2800 lm</w:t></w:r></w:p><w:p><w:pPr/><w:r><w:rPr/><w:t xml:space="preserve">Température de couleur: 4000 K</w:t></w:r></w:p><w:p><w:pPr/><w:r><w:rPr/><w:t xml:space="preserve">UGR: 18.2</w:t></w:r></w:p><w:p><w:pPr/></w:p><w:p><w:pPr/><w:r><w:rPr/><w:t xml:space="preserve">Températures:</w:t></w:r></w:p><w:p><w:pPr/></w:p><w:p><w:pPr/><w:r><w:rPr/><w:t xml:space="preserve">Type d'installation:</w:t></w:r></w:p><w:p><w:pPr/></w:p><w:p><w:pPr/><w:r><w:rPr/><w:t xml:space="preserve">Alimentation:</w:t></w:r></w:p><w:p><w:pPr/></w:p><w:p><w:pPr/><w:r><w:rPr/><w:t xml:space="preserve">Marque: RP-Technik GmbH</w:t></w:r></w:p><w:sectPr><w:pgSz w:orient="portrait" w:w="11905.511811023622" w:h="16837.79527559055"/><w:pgMar w:top="1400" w:right="1400" w:bottom="1440" w:left="14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2026-03-17T08:29:11+01:00</dcterms:created>
  <dcterms:modified xsi:type="dcterms:W3CDTF">2026-03-17T08:29:11+01:00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