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 moulé sous pression,Polycarbonate</w:t>
      </w:r>
    </w:p>
    <w:p>
      <w:pPr/>
      <w:r>
        <w:rPr/>
        <w:t xml:space="preserve">Couleur: RAL 5010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-20 °C à 55 °C °C</w:t>
      </w:r>
    </w:p>
    <w:p>
      <w:pPr/>
      <w:r>
        <w:rPr/>
        <w:t xml:space="preserve">Température permise en mode veille: -20 °C à 55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20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2100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XPIU019ML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682E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2026-10-03T05:32:17+02:00</dcterms:created>
  <dcterms:modified xsi:type="dcterms:W3CDTF">2026-10-03T05:32:17+02:00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