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encastré au plafond avec suspension par câble,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Dimensions: 79 mm x 512 mm x 309 mm</w:t>
      </w:r>
    </w:p>
    <w:p>
      <w:pPr/>
    </w:p>
    <w:p>
      <w:pPr/>
      <w:r>
        <w:rPr/>
        <w:t xml:space="preserve">Type de montage: Deckeneinbau-Seil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35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4,2 W W</w:t>
      </w:r>
    </w:p>
    <w:p>
      <w:pPr/>
      <w:r>
        <w:rPr/>
        <w:t xml:space="preserve">Puissance en mode veille: 0,35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AGCC003SC</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B7E7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2025-09-17T15:48:01+02:00</dcterms:created>
  <dcterms:modified xsi:type="dcterms:W3CDTF">2025-09-17T15:48:01+02:00</dcterms:modified>
</cp:coreProperties>
</file>

<file path=docProps/custom.xml><?xml version="1.0" encoding="utf-8"?>
<Properties xmlns="http://schemas.openxmlformats.org/officeDocument/2006/custom-properties" xmlns:vt="http://schemas.openxmlformats.org/officeDocument/2006/docPropsVTypes"/>
</file>