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barre pour le montage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RAL 9003</w:t>
      </w:r>
    </w:p>
    <w:p>
      <w:pPr/>
      <w:r>
        <w:rPr/>
        <w:t xml:space="preserve">Dimensions: 93 mm x 390 mm x 139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-30 °C à 40 °C °C</w:t>
      </w:r>
    </w:p>
    <w:p>
      <w:pPr/>
      <w:r>
        <w:rPr/>
        <w:t xml:space="preserve">Température permise en mode veille: -20 °C à 40 °C °C</w:t>
      </w:r>
    </w:p>
    <w:p>
      <w:pPr/>
      <w:r>
        <w:rPr/>
        <w:t xml:space="preserve">Distance de reconnaissance: 16m m</w:t>
      </w:r>
    </w:p>
    <w:p>
      <w:pPr/>
      <w:r>
        <w:rPr/>
        <w:t xml:space="preserve">Pictogramme: Set</w:t>
      </w:r>
    </w:p>
    <w:p>
      <w:pPr/>
    </w:p>
    <w:p>
      <w:pPr/>
      <w:r>
        <w:rPr/>
        <w:t xml:space="preserve">Puissance en mode continu: 5,2 W W</w:t>
      </w:r>
    </w:p>
    <w:p>
      <w:pPr/>
      <w:r>
        <w:rPr/>
        <w:t xml:space="preserve">Puissance en mode veille: 1,1 W W</w:t>
      </w:r>
    </w:p>
    <w:p>
      <w:pPr/>
      <w:r>
        <w:rPr/>
        <w:t xml:space="preserve">Flux lumineux en mode de secours: 335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KWID019ML</w:t>
      </w:r>
    </w:p>
    <w:p>
      <w:pPr/>
    </w:p>
    <w:p>
      <w:pPr/>
      <w:r>
        <w:rPr/>
        <w:t xml:space="preserve">Accessoires:</w:t>
      </w:r>
    </w:p>
    <w:p>
      <w:pPr/>
      <w:r>
        <w:rPr/>
        <w:t xml:space="preserve">Numéro d'article: BKW,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98EBA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2026-09-24T05:19:01+02:00</dcterms:created>
  <dcterms:modified xsi:type="dcterms:W3CDTF">2026-09-24T05:19:01+02:00</dcterms:modified>
</cp:coreProperties>
</file>

<file path=docProps/custom.xml><?xml version="1.0" encoding="utf-8"?>
<Properties xmlns="http://schemas.openxmlformats.org/officeDocument/2006/custom-properties" xmlns:vt="http://schemas.openxmlformats.org/officeDocument/2006/docPropsVTypes"/>
</file>