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Matériau: Matière plastique</w:t>
      </w:r>
    </w:p>
    <w:p>
      <w:pPr/>
      <w:r>
        <w:rPr/>
        <w:t xml:space="preserve">Couleur: RAL 9003</w:t>
      </w:r>
    </w:p>
    <w:p>
      <w:pPr/>
      <w:r>
        <w:rPr/>
        <w:t xml:space="preserve">Dimensions: 500 mm x 522 mm x 280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50m m</w:t>
      </w:r>
    </w:p>
    <w:p>
      <w:pPr/>
      <w:r>
        <w:rPr/>
        <w:t xml:space="preserve">Pictogramme: Set</w:t>
      </w:r>
    </w:p>
    <w:p>
      <w:pPr/>
    </w:p>
    <w:p>
      <w:pPr/>
      <w:r>
        <w:rPr/>
        <w:t xml:space="preserve">Puissance en mode continu: 4,6 W W</w:t>
      </w:r>
    </w:p>
    <w:p>
      <w:pPr/>
      <w:r>
        <w:rPr/>
        <w:t xml:space="preserve">Puissance en mode veille: 0 W W</w:t>
      </w:r>
    </w:p>
    <w:p>
      <w:pPr/>
      <w:r>
        <w:rPr/>
        <w:t xml:space="preserve">Flux lumineux en mode de secours: 520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WHGD019</w:t>
      </w:r>
    </w:p>
    <w:p>
      <w:pPr/>
    </w:p>
    <w:p>
      <w:pPr/>
      <w:r>
        <w:rPr/>
        <w:t xml:space="preserve">Accessoires:</w:t>
      </w:r>
    </w:p>
    <w:p>
      <w:pPr/>
      <w:r>
        <w:rPr/>
        <w:t xml:space="preserve">Numéro d'article: DSA-Y4M, </w:t>
      </w:r>
    </w:p>
    <w:p>
      <w:pPr/>
      <w:r>
        <w:rPr/>
        <w:t xml:space="preserve">Numéro d'article: DSA-Y4M-APA, </w:t>
      </w:r>
    </w:p>
    <w:p>
      <w:pPr/>
      <w:r>
        <w:rPr/>
        <w:t xml:space="preserve">Numéro d'article: WKO,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2026-10-24T06:09:12+02:00</dcterms:created>
  <dcterms:modified xsi:type="dcterms:W3CDTF">2026-10-24T06:09:12+02:00</dcterms:modified>
</cp:coreProperties>
</file>

<file path=docProps/custom.xml><?xml version="1.0" encoding="utf-8"?>
<Properties xmlns="http://schemas.openxmlformats.org/officeDocument/2006/custom-properties" xmlns:vt="http://schemas.openxmlformats.org/officeDocument/2006/docPropsVTypes"/>
</file>