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NIMH4805S.ST, {{Produkt - BatteryPerformance - BatteryTechnology (P:17:110)}} Batterie</w:t>
      </w:r>
    </w:p>
    <w:p>
      <w:pPr/>
    </w:p>
    <w:p>
      <w:pPr/>
      <w:r>
        <w:rPr/>
        <w:t xml:space="preserve">Numéro d'article: KMU001WL-SW-3P</w:t>
      </w:r>
    </w:p>
    <w:p>
      <w:pPr/>
    </w:p>
    <w:p>
      <w:pPr/>
      <w:r>
        <w:rPr/>
        <w:t xml:space="preserve">Accessoires:</w:t>
      </w:r>
    </w:p>
    <w:p>
      <w:pPr/>
      <w:r>
        <w:rPr/>
        <w:t xml:space="preserve">Numéro d'article: NIMH4805S.ST,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B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2026-08-14T06:18:24+02:00</dcterms:created>
  <dcterms:modified xsi:type="dcterms:W3CDTF">2026-08-14T06:18:24+02:00</dcterms:modified>
</cp:coreProperties>
</file>

<file path=docProps/custom.xml><?xml version="1.0" encoding="utf-8"?>
<Properties xmlns="http://schemas.openxmlformats.org/officeDocument/2006/custom-properties" xmlns:vt="http://schemas.openxmlformats.org/officeDocument/2006/docPropsVTypes"/>
</file>