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disque en zinc moulé sous pression conforme aux normes DIN EN60598-1, DIN EN 60598-2-22 et DIN EN 1838.</w:t>
      </w:r>
      <w:br/>
      <w:br/>
      <w:r>
        <w:rPr/>
        <w:t xml:space="preserve">Luminaire à LED en zinc moulé sous pression pour montage mural, primé par le German Design Award 2018. </w:t>
      </w:r>
      <w:br/>
      <w:br/>
      <w:r>
        <w:rPr/>
        <w:t xml:space="preserve">Langage formel sobre et clair de toutes les variantes de luminaires de la série A pour une intégration dans tout type de bâtiment. La structure modulaire pratique de la série A promet un montage très simple pour toutes les variantes. Le design est parfaitement adapté à tous les types de montage. </w:t>
      </w:r>
      <w:br/>
      <w:br/>
      <w:r>
        <w:rPr/>
        <w:t xml:space="preserve">Propriétés de la lampe :</w:t>
      </w:r>
      <w:br/>
      <w:r>
        <w:rPr/>
        <w:t xml:space="preserve">- Mécaniquement robuste et résistant à la corrosion</w:t>
      </w:r>
      <w:br/>
      <w:r>
        <w:rPr/>
        <w:t xml:space="preserve">- Surface revêtue par poudre</w:t>
      </w:r>
      <w:br/>
      <w:r>
        <w:rPr/>
        <w:t xml:space="preserve">- Bords exacts et lignes droites</w:t>
      </w:r>
      <w:br/>
      <w:r>
        <w:rPr/>
        <w:t xml:space="preserve">- Pas de soudures ni d'arêtes de pliage</w:t>
      </w:r>
      <w:br/>
      <w:r>
        <w:rPr/>
        <w:t xml:space="preserve">- Fixation du pictogramme sans solvant</w:t>
      </w:r>
      <w:br/>
      <w:r>
        <w:rPr/>
        <w:t xml:space="preserve">- Vitre avec bords polis et support de pictogramme continu et invisible</w:t>
      </w:r>
      <w:br/>
      <w:r>
        <w:rPr/>
        <w:t xml:space="preserve">- Boîtier de montage identique pour toutes les variantes de la série A.</w:t>
      </w:r>
      <w:br/>
      <w:br/>
      <w:r>
        <w:rPr/>
        <w:t xml:space="preserve">Convient pour une commutation permanente ou de veille. Sécurité de planification grâce à l'utilisation variable et sans outil des pictogrammes sur place. Pictogrammes conformes aux normes DIN EN ISO 7010 et DIN ISO 3864 (gauche, droite, bas, haut) inclus en standard dans la livraison.</w:t>
      </w:r>
    </w:p>
    <w:p>
      <w:pPr/>
    </w:p>
    <w:p>
      <w:pPr/>
      <w:r>
        <w:rPr/>
        <w:t xml:space="preserve">Surveillance: </w:t>
      </w:r>
    </w:p>
    <w:p>
      <w:pPr/>
      <w:r>
        <w:rPr/>
        <w:t xml:space="preserve">With integrated monitoring module for operating on a Wireless Professional central monitoring system.</w:t>
      </w:r>
    </w:p>
    <w:p>
      <w:pPr>
        <w:numPr>
          <w:ilvl w:val="0"/>
          <w:numId w:val="2"/>
        </w:numPr>
      </w:pPr>
      <w:r>
        <w:rPr/>
        <w:t xml:space="preserve">Charge monitoring indicator on the luminaire</w:t>
      </w:r>
    </w:p>
    <w:p>
      <w:pPr>
        <w:numPr>
          <w:ilvl w:val="0"/>
          <w:numId w:val="2"/>
        </w:numPr>
      </w:pPr>
      <w:r>
        <w:rPr/>
        <w:t xml:space="preserve">Manual or automatic function test (free choice of test start time in the WirelessControl software)</w:t>
      </w:r>
    </w:p>
    <w:p>
      <w:pPr>
        <w:numPr>
          <w:ilvl w:val="0"/>
          <w:numId w:val="2"/>
        </w:numPr>
      </w:pPr>
      <w:r>
        <w:rPr/>
        <w:t xml:space="preserve">Manual or automatic continuous function test can be activated via the length of the luminaire’s measurement operation (free choice of test start times in the WirelessControl software)</w:t>
      </w:r>
    </w:p>
    <w:p>
      <w:pPr>
        <w:numPr>
          <w:ilvl w:val="0"/>
          <w:numId w:val="2"/>
        </w:numPr>
      </w:pPr>
      <w:r>
        <w:rPr/>
        <w:t xml:space="preserve">Automatic charge monitoring</w:t>
      </w:r>
    </w:p>
    <w:p>
      <w:pPr>
        <w:numPr>
          <w:ilvl w:val="0"/>
          <w:numId w:val="2"/>
        </w:numPr>
      </w:pPr>
      <w:r>
        <w:rPr/>
        <w:t xml:space="preserve">Deep discharge protection with restart inhibit</w:t>
      </w:r>
    </w:p>
    <w:p>
      <w:pPr/>
      <w:r>
        <w:rPr/>
        <w:t xml:space="preserve">Matériau: Zinc moulé sous pression</w:t>
      </w:r>
    </w:p>
    <w:p>
      <w:pPr/>
      <w:r>
        <w:rPr/>
        <w:t xml:space="preserve">Couleur: RAL 7016</w:t>
      </w:r>
    </w:p>
    <w:p>
      <w:pPr/>
      <w:r>
        <w:rPr/>
        <w:t xml:space="preserve">Dimensions: 50 mm x 312 mm x 194 mm</w:t>
      </w:r>
    </w:p>
    <w:p>
      <w:pPr/>
      <w:r>
        <w:rPr/>
        <w:t xml:space="preserve">Diamètre:  mm</w:t>
      </w:r>
    </w:p>
    <w:p>
      <w:pPr/>
    </w:p>
    <w:p>
      <w:pPr/>
      <w:r>
        <w:rPr/>
        <w:t xml:space="preserve">Type de montage: Wandaufbau</w:t>
      </w:r>
    </w:p>
    <w:p>
      <w:pPr/>
      <w:r>
        <w:rPr/>
        <w:t xml:space="preserve">Classe de protection: 2</w:t>
      </w:r>
    </w:p>
    <w:p>
      <w:pPr/>
      <w:r>
        <w:rPr/>
        <w:t xml:space="preserve">Indice de protection (IP): IP 40</w:t>
      </w:r>
    </w:p>
    <w:p>
      <w:pPr/>
      <w:r>
        <w:rPr/>
        <w:t xml:space="preserve">Degré de résistance aux chocs IK: IK ≥ 3</w:t>
      </w:r>
    </w:p>
    <w:p>
      <w:pPr/>
      <w:r>
        <w:rPr/>
        <w:t xml:space="preserve">Température permise en mode contenu: -5 °C à 40 °C °C</w:t>
      </w:r>
    </w:p>
    <w:p>
      <w:pPr/>
      <w:r>
        <w:rPr/>
        <w:t xml:space="preserve">Température permise en mode veille: -5 °C à 40 °C °C</w:t>
      </w:r>
    </w:p>
    <w:p>
      <w:pPr/>
      <w:r>
        <w:rPr/>
        <w:t xml:space="preserve">Distance de reconnaissance: 30m m</w:t>
      </w:r>
    </w:p>
    <w:p>
      <w:pPr/>
      <w:r>
        <w:rPr/>
        <w:t xml:space="preserve">Pictogramme: Set</w:t>
      </w:r>
    </w:p>
    <w:p>
      <w:pPr/>
    </w:p>
    <w:p>
      <w:pPr/>
      <w:r>
        <w:rPr/>
        <w:t xml:space="preserve">Puissance en mode continu: 4,5 W W</w:t>
      </w:r>
    </w:p>
    <w:p>
      <w:pPr/>
      <w:r>
        <w:rPr/>
        <w:t xml:space="preserve">Puissance en mode veille: 0,8 W W</w:t>
      </w:r>
    </w:p>
    <w:p>
      <w:pPr/>
    </w:p>
    <w:p>
      <w:pPr/>
      <w:r>
        <w:rPr/>
        <w:t xml:space="preserve">Tension d'entrée AC: 230 V V</w:t>
      </w:r>
    </w:p>
    <w:p>
      <w:pPr/>
      <w:r>
        <w:rPr/>
        <w:t xml:space="preserve">Section de raccordement: 2.5 mm² mm</w:t>
      </w:r>
    </w:p>
    <w:p>
      <w:pPr/>
    </w:p>
    <w:p>
      <w:pPr/>
      <w:r>
        <w:rPr/>
        <w:t xml:space="preserve">Batterie: LFPN3212.01-SET</w:t>
      </w:r>
    </w:p>
    <w:p>
      <w:pPr/>
    </w:p>
    <w:p>
      <w:pPr/>
      <w:r>
        <w:rPr/>
        <w:t xml:space="preserve">Numéro d'article: AXW408WL-AZ</w:t>
      </w:r>
    </w:p>
    <w:p>
      <w:pPr/>
    </w:p>
    <w:p>
      <w:pPr/>
      <w:r>
        <w:rPr/>
        <w:t xml:space="preserve">Accessoires:</w:t>
      </w:r>
    </w:p>
    <w:p>
      <w:pPr/>
      <w:r>
        <w:rPr/>
        <w:t xml:space="preserve">Numéro d'article: BALLPLX-AX, </w:t>
      </w:r>
    </w:p>
    <w:p>
      <w:pPr/>
      <w:r>
        <w:rPr/>
        <w:t xml:space="preserve">Numéro d'article: AM-X-APA,  </w:t>
      </w:r>
    </w:p>
    <w:p>
      <w:pPr/>
      <w:r>
        <w:rPr/>
        <w:t xml:space="preserve">Numéro d'article: LFPN3212-SET-2AKKU, </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71A5B3E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2026-07-26T07:08:46+02:00</dcterms:created>
  <dcterms:modified xsi:type="dcterms:W3CDTF">2026-07-26T07:08:46+02:00</dcterms:modified>
</cp:coreProperties>
</file>

<file path=docProps/custom.xml><?xml version="1.0" encoding="utf-8"?>
<Properties xmlns="http://schemas.openxmlformats.org/officeDocument/2006/custom-properties" xmlns:vt="http://schemas.openxmlformats.org/officeDocument/2006/docPropsVTypes"/>
</file>