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80 mm x 334 mm x 196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r>
        <w:rPr/>
        <w:t xml:space="preserve">Flux lumineux en mode de secours: 180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AMWA401WL</w:t>
      </w:r>
    </w:p>
    <w:p>
      <w:pPr/>
    </w:p>
    <w:p>
      <w:pPr/>
      <w:r>
        <w:rPr/>
        <w:t xml:space="preserve">Accessoires:</w:t>
      </w:r>
    </w:p>
    <w:p>
      <w:pPr/>
      <w:r>
        <w:rPr/>
        <w:t xml:space="preserve">Numéro d'article: AM-X-APA,  </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C54AF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2026-11-02T05:09:43+01:00</dcterms:created>
  <dcterms:modified xsi:type="dcterms:W3CDTF">2026-11-02T05:09:43+01:00</dcterms:modified>
</cp:coreProperties>
</file>

<file path=docProps/custom.xml><?xml version="1.0" encoding="utf-8"?>
<Properties xmlns="http://schemas.openxmlformats.org/officeDocument/2006/custom-properties" xmlns:vt="http://schemas.openxmlformats.org/officeDocument/2006/docPropsVTypes"/>
</file>