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Matériau: Zinc moulé sous pression</w:t>
      </w:r>
    </w:p>
    <w:p>
      <w:pPr/>
      <w:r>
        <w:rPr/>
        <w:t xml:space="preserve">Couleur: RAL 7016</w:t>
      </w:r>
    </w:p>
    <w:p>
      <w:pPr/>
      <w:r>
        <w:rPr/>
        <w:t xml:space="preserve">Dimensions: 92 mm x 167 mm x 159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1,7 W W</w:t>
      </w:r>
    </w:p>
    <w:p>
      <w:pPr/>
      <w:r>
        <w:rPr/>
        <w:t xml:space="preserve">Puissance en mode veille: 0,4 W W</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AIE509CC-AZ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2026-08-12T06:01:22+02:00</dcterms:created>
  <dcterms:modified xsi:type="dcterms:W3CDTF">2026-08-12T06:01:22+02:00</dcterms:modified>
</cp:coreProperties>
</file>

<file path=docProps/custom.xml><?xml version="1.0" encoding="utf-8"?>
<Properties xmlns="http://schemas.openxmlformats.org/officeDocument/2006/custom-properties" xmlns:vt="http://schemas.openxmlformats.org/officeDocument/2006/docPropsVTypes"/>
</file>