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RAL 9003</w:t>
      </w:r>
    </w:p>
    <w:p>
      <w:pPr/>
      <w:r>
        <w:rPr/>
        <w:t xml:space="preserve">Dimensions: 80 mm x 312 mm x 1753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3,4 W W</w:t>
      </w:r>
    </w:p>
    <w:p>
      <w:pPr/>
      <w:r>
        <w:rPr/>
        <w:t xml:space="preserve">Puissance en mode veille: 0,4 W W</w:t>
      </w:r>
    </w:p>
    <w:p>
      <w:pPr/>
      <w:r>
        <w:rPr/>
        <w:t xml:space="preserve">Flux lumineux en mode de secours: 230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AXDC509CC</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2026-07-22T07:17:29+02:00</dcterms:created>
  <dcterms:modified xsi:type="dcterms:W3CDTF">2026-07-22T07:17:29+02:00</dcterms:modified>
</cp:coreProperties>
</file>

<file path=docProps/custom.xml><?xml version="1.0" encoding="utf-8"?>
<Properties xmlns="http://schemas.openxmlformats.org/officeDocument/2006/custom-properties" xmlns:vt="http://schemas.openxmlformats.org/officeDocument/2006/docPropsVTypes"/>
</file>