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Matériau: Matière plastique</w:t>
      </w:r>
    </w:p>
    <w:p>
      <w:pPr/>
      <w:r>
        <w:rPr/>
        <w:t xml:space="preserve">Couleur: RAL 9003</w:t>
      </w:r>
    </w:p>
    <w:p>
      <w:pPr/>
      <w:r>
        <w:rPr/>
        <w:t xml:space="preserve">Dimensions: 300 mm x 300 mm x 179.5 mm</w:t>
      </w:r>
    </w:p>
    <w:p>
      <w:pPr/>
    </w:p>
    <w:p>
      <w:pPr/>
      <w:r>
        <w:rPr/>
        <w:t xml:space="preserve">Type de montage: Deckenaufbau</w:t>
      </w:r>
    </w:p>
    <w:p>
      <w:pPr/>
      <w:r>
        <w:rPr/>
        <w:t xml:space="preserve">Classe de protection: 3</w:t>
      </w:r>
    </w:p>
    <w:p>
      <w:pPr/>
      <w:r>
        <w:rPr/>
        <w:t xml:space="preserve">Indice de protection (IP): IP 65</w:t>
      </w:r>
    </w:p>
    <w:p>
      <w:pPr/>
      <w:r>
        <w:rPr/>
        <w:t xml:space="preserve">Degré de résistance aux chocs IK: IK 4</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5,1 W W</w:t>
      </w:r>
    </w:p>
    <w:p>
      <w:pPr/>
      <w:r>
        <w:rPr/>
        <w:t xml:space="preserve">Puissance en mode veille: 0,4 W W</w:t>
      </w:r>
    </w:p>
    <w:p>
      <w:pPr/>
      <w:r>
        <w:rPr/>
        <w:t xml:space="preserve">Flux lumineux en mode de secours: 520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WHXD519CC</w:t>
      </w:r>
    </w:p>
    <w:p>
      <w:pPr/>
    </w:p>
    <w:p>
      <w:pPr/>
      <w:r>
        <w:rPr/>
        <w:t xml:space="preserve">Accessoires:</w:t>
      </w:r>
    </w:p>
    <w:p>
      <w:pPr/>
      <w:r>
        <w:rPr/>
        <w:t xml:space="preserve">Numéro d'article: WKO,  </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2026-10-24T06:09:32+02:00</dcterms:created>
  <dcterms:modified xsi:type="dcterms:W3CDTF">2026-10-24T06:09:32+02:00</dcterms:modified>
</cp:coreProperties>
</file>

<file path=docProps/custom.xml><?xml version="1.0" encoding="utf-8"?>
<Properties xmlns="http://schemas.openxmlformats.org/officeDocument/2006/custom-properties" xmlns:vt="http://schemas.openxmlformats.org/officeDocument/2006/docPropsVTypes"/>
</file>