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3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4,1 W W</w:t>
      </w:r>
    </w:p>
    <w:p>
      <w:pPr/>
      <w:r>
        <w:rPr/>
        <w:t xml:space="preserve">Puissance en mode veille: 0,4 W W</w:t>
      </w:r>
    </w:p>
    <w:p>
      <w:pPr/>
      <w:r>
        <w:rPr/>
        <w:t xml:space="preserve">Flux lumineux en mode de secours: 420 lm lm</w:t>
      </w:r>
    </w:p>
    <w:p>
      <w:pPr/>
    </w:p>
    <w:p>
      <w:pPr/>
      <w:r>
        <w:rPr/>
        <w:t xml:space="preserve">Tension d'entrée AC: 24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WAF529CC-AZ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2026-11-08T05:34:29+01:00</dcterms:created>
  <dcterms:modified xsi:type="dcterms:W3CDTF">2026-11-08T05:34:29+01:00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