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apparent carré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s'intégrer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104 mm x 104 mm x 39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2,3 W W</w:t>
      </w:r>
    </w:p>
    <w:p>
      <w:pPr/>
      <w:r>
        <w:rPr/>
        <w:t xml:space="preserve">Puissance en mode veille: 0,4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EAQL421WB-AZ</w:t>
      </w:r>
    </w:p>
    <w:p>
      <w:pPr/>
    </w:p>
    <w:p>
      <w:pPr/>
      <w:r>
        <w:rPr/>
        <w:t xml:space="preserve">Accessoires:</w:t>
      </w:r>
    </w:p>
    <w:p>
      <w:pPr/>
      <w:r>
        <w:rPr/>
        <w:t xml:space="preserve">Numéro d'article: ILD-APA-02,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7C51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2026-07-26T06:18:07+02:00</dcterms:created>
  <dcterms:modified xsi:type="dcterms:W3CDTF">2026-07-26T06:18:07+02:00</dcterms:modified>
</cp:coreProperties>
</file>

<file path=docProps/custom.xml><?xml version="1.0" encoding="utf-8"?>
<Properties xmlns="http://schemas.openxmlformats.org/officeDocument/2006/custom-properties" xmlns:vt="http://schemas.openxmlformats.org/officeDocument/2006/docPropsVTypes"/>
</file>