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86 mm x 390 mm x 99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4,6 W W</w:t>
      </w:r>
    </w:p>
    <w:p>
      <w:pPr/>
      <w:r>
        <w:rPr/>
        <w:t xml:space="preserve">Puissance en mode veille: 0,3 W W</w:t>
      </w:r>
    </w:p>
    <w:p>
      <w:pPr/>
      <w:r>
        <w:rPr/>
        <w:t xml:space="preserve">Flux lumineux en mode de secours: 520 lm lm</w:t>
      </w:r>
    </w:p>
    <w:p>
      <w:pPr/>
    </w:p>
    <w:p>
      <w:pPr/>
      <w:r>
        <w:rPr/>
        <w:t xml:space="preserve">Tension d'entrée AC: 230 V V</w:t>
      </w:r>
    </w:p>
    <w:p>
      <w:pPr/>
      <w:r>
        <w:rPr/>
        <w:t xml:space="preserve">Section de raccordement: 2.5 mm² mm</w:t>
      </w:r>
    </w:p>
    <w:p>
      <w:pPr/>
    </w:p>
    <w:p>
      <w:pPr/>
      <w:r>
        <w:rPr/>
        <w:t xml:space="preserve">Batterie: NIMH9620Q, {{Produkt - BatteryPerformance - BatteryTechnology (P:17:110)}} Batterie</w:t>
      </w:r>
    </w:p>
    <w:p>
      <w:pPr/>
    </w:p>
    <w:p>
      <w:pPr/>
      <w:r>
        <w:rPr/>
        <w:t xml:space="preserve">Numéro d'article: KWIW023SC-OP</w:t>
      </w:r>
    </w:p>
    <w:p>
      <w:pPr/>
    </w:p>
    <w:p>
      <w:pPr/>
      <w:r>
        <w:rPr/>
        <w:t xml:space="preserve">Accessoires:</w:t>
      </w:r>
    </w:p>
    <w:p>
      <w:pPr/>
      <w:r>
        <w:rPr/>
        <w:t xml:space="preserve">Numéro d'article: BKW,  </w:t>
      </w:r>
    </w:p>
    <w:p>
      <w:pPr/>
      <w:r>
        <w:rPr/>
        <w:t xml:space="preserve">Numéro d'article: KWIE,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E40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2026-07-24T03:00:35+02:00</dcterms:created>
  <dcterms:modified xsi:type="dcterms:W3CDTF">2026-07-24T03:00:35+02:00</dcterms:modified>
</cp:coreProperties>
</file>

<file path=docProps/custom.xml><?xml version="1.0" encoding="utf-8"?>
<Properties xmlns="http://schemas.openxmlformats.org/officeDocument/2006/custom-properties" xmlns:vt="http://schemas.openxmlformats.org/officeDocument/2006/docPropsVTypes"/>
</file>