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Diamètre: 57 mm</w:t>
      </w:r>
    </w:p>
    <w:p>
      <w:pPr/>
    </w:p>
    <w:p>
      <w:pPr/>
      <w:r>
        <w:rPr/>
        <w:t xml:space="preserve">Type de montage: Deckenaufbau</w:t>
      </w:r>
    </w:p>
    <w:p>
      <w:pPr/>
      <w:r>
        <w:rPr/>
        <w:t xml:space="preserve">Classe de protection: 3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6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1,5 W W</w:t>
      </w:r>
    </w:p>
    <w:p>
      <w:pPr/>
      <w:r>
        <w:rPr/>
        <w:t xml:space="preserve">Puissance en mode veille: 0,4 W W</w:t>
      </w:r>
    </w:p>
    <w:p>
      <w:pPr/>
      <w:r>
        <w:rPr/>
        <w:t xml:space="preserve">Flux lumineux en mode de secours: 140 lm lm</w:t>
      </w:r>
    </w:p>
    <w:p>
      <w:pPr/>
    </w:p>
    <w:p>
      <w:pPr/>
      <w:r>
        <w:rPr/>
        <w:t xml:space="preserve">Tension d'entrée AC: 24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IADL529CC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2026-11-06T06:38:58+01:00</dcterms:created>
  <dcterms:modified xsi:type="dcterms:W3CDTF">2026-11-06T06:38:58+01:00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