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à LED sans cadre et à fleur de mur pour une installation murale. Un luminaire parfaitement intégré dans le mur, sans cadre, ni vis, ni partie saillante, ce qui permet d'améliorer le design de l'environnement.</w:t>
      </w:r>
      <w:br/>
      <w:br/>
      <w:r>
        <w:rPr/>
        <w:t xml:space="preserve">Un système de mise à niveau intelligent est déjà intégré et permet d'aligner facilement le luminaire sur le plan du mur.</w:t>
      </w:r>
      <w:br/>
      <w:br/>
      <w:r>
        <w:rPr/>
        <w:t xml:space="preserve">Le set de pictogrammes est inséré à l'intérieur et fixé sans solvant.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Couleur: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UEMR418WL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941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2026-07-21T11:14:08+02:00</dcterms:created>
  <dcterms:modified xsi:type="dcterms:W3CDTF">2026-07-21T11:14:08+02:00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