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3</w:t>
      </w:r>
    </w:p>
    <w:p>
      <w:pPr/>
      <w:r>
        <w:rPr/>
        <w:t xml:space="preserve">Indice de protection (IP): IP 43</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2,1 W W</w:t>
      </w:r>
    </w:p>
    <w:p>
      <w:pPr/>
      <w:r>
        <w:rPr/>
        <w:t xml:space="preserve">Puissance en mode veille: 0,4 W W</w:t>
      </w:r>
    </w:p>
    <w:p>
      <w:pPr/>
      <w:r>
        <w:rPr/>
        <w:t xml:space="preserve">Flux lumineux en mode de secours: 220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KMU519CC-SW</w:t>
      </w:r>
    </w:p>
    <w:p>
      <w:pPr/>
    </w:p>
    <w:p>
      <w:pPr/>
      <w:r>
        <w:rPr/>
        <w:t xml:space="preserve">Accessoires:</w:t>
      </w:r>
    </w:p>
    <w:p>
      <w:pPr/>
      <w:r>
        <w:rPr/>
        <w:t xml:space="preserve">Numéro d'article: DSA, </w:t>
      </w:r>
    </w:p>
    <w:p>
      <w:pPr/>
      <w:r>
        <w:rPr/>
        <w:t xml:space="preserve">Numéro d'article: 2PSW-EB, </w:t>
      </w:r>
    </w:p>
    <w:p>
      <w:pPr/>
      <w:r>
        <w:rPr/>
        <w:t xml:space="preserve">Numéro d'article: KME-SW, </w:t>
      </w:r>
    </w:p>
    <w:p>
      <w:pPr/>
      <w:r>
        <w:rPr/>
        <w:t xml:space="preserve">Numéro d'article: AWKSU,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2026-07-24T07:37:21+02:00</dcterms:created>
  <dcterms:modified xsi:type="dcterms:W3CDTF">2026-07-24T07:37:21+02:00</dcterms:modified>
</cp:coreProperties>
</file>

<file path=docProps/custom.xml><?xml version="1.0" encoding="utf-8"?>
<Properties xmlns="http://schemas.openxmlformats.org/officeDocument/2006/custom-properties" xmlns:vt="http://schemas.openxmlformats.org/officeDocument/2006/docPropsVTypes"/>
</file>