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4,3 W W</w:t>
      </w:r>
    </w:p>
    <w:p>
      <w:pPr/>
      <w:r>
        <w:rPr/>
        <w:t xml:space="preserve">Puissance en mode veille: 0,7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KWIW413WL</w:t>
      </w:r>
    </w:p>
    <w:p>
      <w:pPr/>
    </w:p>
    <w:p>
      <w:pPr/>
      <w:r>
        <w:rPr/>
        <w:t xml:space="preserve">Accessoires:</w:t>
      </w:r>
    </w:p>
    <w:p>
      <w:pPr/>
      <w:r>
        <w:rPr/>
        <w:t xml:space="preserve">Numéro d'article: BKW,  </w:t>
      </w:r>
    </w:p>
    <w:p>
      <w:pPr/>
      <w:r>
        <w:rPr/>
        <w:t xml:space="preserve">Numéro d'article: KWIE,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88C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2026-10-24T05:06:10+02:00</dcterms:created>
  <dcterms:modified xsi:type="dcterms:W3CDTF">2026-10-24T05:06:10+02:00</dcterms:modified>
</cp:coreProperties>
</file>

<file path=docProps/custom.xml><?xml version="1.0" encoding="utf-8"?>
<Properties xmlns="http://schemas.openxmlformats.org/officeDocument/2006/custom-properties" xmlns:vt="http://schemas.openxmlformats.org/officeDocument/2006/docPropsVTypes"/>
</file>