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4,3 W W</w:t>
      </w:r>
    </w:p>
    <w:p>
      <w:pPr/>
      <w:r>
        <w:rPr/>
        <w:t xml:space="preserve">Puissance en mode veille: 0,7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KWID413WL</w:t>
      </w:r>
    </w:p>
    <w:p>
      <w:pPr/>
    </w:p>
    <w:p>
      <w:pPr/>
      <w:r>
        <w:rPr/>
        <w:t xml:space="preserve">Accessoires:</w:t>
      </w:r>
    </w:p>
    <w:p>
      <w:pPr/>
      <w:r>
        <w:rPr/>
        <w:t xml:space="preserve">Numéro d'article: BKW,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04EF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2026-09-24T06:54:57+02:00</dcterms:created>
  <dcterms:modified xsi:type="dcterms:W3CDTF">2026-09-24T06:54:57+02:00</dcterms:modified>
</cp:coreProperties>
</file>

<file path=docProps/custom.xml><?xml version="1.0" encoding="utf-8"?>
<Properties xmlns="http://schemas.openxmlformats.org/officeDocument/2006/custom-properties" xmlns:vt="http://schemas.openxmlformats.org/officeDocument/2006/docPropsVTypes"/>
</file>