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plastique pour un montage universel. Le montage universel comprend la possibilité de monter le luminaire au choix en applique murale ou au plafond. Le boîtier parallélépipédique en plastique est discrètement réduit à l'essentiel. L'indice de protection élevé permet une utilisation dans des locaux humides ou dans des environnements à fort encrassement.</w:t>
      </w:r>
      <w:br/>
      <w:r>
        <w:rPr/>
        <w:t xml:space="preserve">Luminaire à disque d'affichage avec répartition lumineuse intégrée pour un éclairage uniforme du pictogramme. Convient pour l'inscription sur une ou deux faces.</w:t>
      </w:r>
      <w:br/>
      <w:br/>
      <w:r>
        <w:rPr/>
        <w:t xml:space="preserve">La sécurité de planification est assurée grâce à l'utilisation variable et sans outil des pictogrammes sur place. Un jeu de pictogrammes conforme à la norme DIN ISO 7010 (flèches vers la droite, la gauche, le haut et le bas) est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204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KAMU403SC</w:t>
      </w:r>
    </w:p>
    <w:p>
      <w:pPr/>
    </w:p>
    <w:p>
      <w:pPr/>
      <w:r>
        <w:rPr/>
        <w:t xml:space="preserve">Accessoires:</w:t>
      </w:r>
    </w:p>
    <w:p>
      <w:pPr/>
      <w:r>
        <w:rPr/>
        <w:t xml:space="preserve">Numéro d'article: AWX001,  </w:t>
      </w:r>
    </w:p>
    <w:p>
      <w:pPr/>
      <w:r>
        <w:rPr/>
        <w:t xml:space="preserve">Numéro d'article: 2PW-EB,  </w:t>
      </w:r>
    </w:p>
    <w:p>
      <w:pPr/>
      <w:r>
        <w:rPr/>
        <w:t xml:space="preserve">Numéro d'article: 2DW-EB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C8F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2026-07-16T06:01:39+02:00</dcterms:created>
  <dcterms:modified xsi:type="dcterms:W3CDTF">2026-07-16T06:01:39+02:00</dcterms:modified>
</cp:coreProperties>
</file>

<file path=docProps/custom.xml><?xml version="1.0" encoding="utf-8"?>
<Properties xmlns="http://schemas.openxmlformats.org/officeDocument/2006/custom-properties" xmlns:vt="http://schemas.openxmlformats.org/officeDocument/2006/docPropsVTypes"/>
</file>