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4,5 W W</w:t>
      </w:r>
    </w:p>
    <w:p>
      <w:pPr/>
      <w:r>
        <w:rPr/>
        <w:t xml:space="preserve">Puissance en mode veille: 0,8 W W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KAXU408WL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AB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2026-09-11T06:06:00+02:00</dcterms:created>
  <dcterms:modified xsi:type="dcterms:W3CDTF">2026-09-11T06:06:00+02:00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