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Matériau: Zinc moulé sous pression</w:t>
      </w:r>
    </w:p>
    <w:p>
      <w:pPr/>
      <w:r>
        <w:rPr/>
        <w:t xml:space="preserve">Couleur: RAL 9003</w:t>
      </w:r>
    </w:p>
    <w:p>
      <w:pPr/>
      <w:r>
        <w:rPr/>
        <w:t xml:space="preserve">Dimensions: 88 mm x 88 mm x 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3,1 W W</w:t>
      </w:r>
    </w:p>
    <w:p>
      <w:pPr/>
      <w:r>
        <w:rPr/>
        <w:t xml:space="preserve">Puissance en mode veille: 0,4 W W</w:t>
      </w:r>
    </w:p>
    <w:p>
      <w:pPr/>
      <w:r>
        <w:rPr/>
        <w:t xml:space="preserve">Flux lumineux en mode de secours: 450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EEQL539CC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2026-10-21T05:43:18+02:00</dcterms:created>
  <dcterms:modified xsi:type="dcterms:W3CDTF">2026-10-21T05:43:18+02:00</dcterms:modified>
</cp:coreProperties>
</file>

<file path=docProps/custom.xml><?xml version="1.0" encoding="utf-8"?>
<Properties xmlns="http://schemas.openxmlformats.org/officeDocument/2006/custom-properties" xmlns:vt="http://schemas.openxmlformats.org/officeDocument/2006/docPropsVTypes"/>
</file>