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apparent carré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s'intégrer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Avec module de surveillance intégré avec commutateur d'adressage à 20 positions, pour un fonctionnement sur une installation à système centrale. Système de contrôle automatique conforme à la norme DIN EN 62034 type ER, en combinaison avec une installation de type MultiControl. Fonctions à respecter obligatoirement :</w:t>
      </w:r>
    </w:p>
    <w:p>
      <w:pPr>
        <w:numPr>
          <w:ilvl w:val="0"/>
          <w:numId w:val="2"/>
        </w:numPr>
      </w:pPr>
      <w:r>
        <w:rPr/>
        <w:t xml:space="preserve">Surveillance intégrée des luminaires individuels</w:t>
      </w:r>
    </w:p>
    <w:p>
      <w:pPr>
        <w:numPr>
          <w:ilvl w:val="0"/>
          <w:numId w:val="2"/>
        </w:numPr>
      </w:pPr>
      <w:r>
        <w:rPr/>
        <w:t xml:space="preserve">Fonction de gestionnaire de luminaires intégrée</w:t>
      </w:r>
    </w:p>
    <w:p>
      <w:pPr>
        <w:numPr>
          <w:ilvl w:val="0"/>
          <w:numId w:val="2"/>
        </w:numPr>
      </w:pPr>
      <w:r>
        <w:rPr/>
        <w:t xml:space="preserve">Possibilité de commutation individuelle en combinaison avec RP ELS - installation à système centrale</w:t>
      </w:r>
    </w:p>
    <w:p>
      <w:pPr/>
      <w:r>
        <w:rPr/>
        <w:t xml:space="preserve">Matériau: Zinc moulé sous pression</w:t>
      </w:r>
    </w:p>
    <w:p>
      <w:pPr/>
      <w:r>
        <w:rPr/>
        <w:t xml:space="preserve">Couleur: RAL 9003</w:t>
      </w:r>
    </w:p>
    <w:p>
      <w:pPr/>
      <w:r>
        <w:rPr/>
        <w:t xml:space="preserve">Dimensions: 104 mm x 104 mm x 39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-20 °C à 30 °C °C</w:t>
      </w:r>
    </w:p>
    <w:p>
      <w:pPr/>
      <w:r>
        <w:rPr/>
        <w:t xml:space="preserve">Température permise en mode veille: -20 °C à 40 °C °C</w:t>
      </w:r>
    </w:p>
    <w:p>
      <w:pPr/>
      <w:r>
        <w:rPr/>
        <w:t xml:space="preserve">Pictogramme: Nein</w:t>
      </w:r>
    </w:p>
    <w:p>
      <w:pPr/>
    </w:p>
    <w:p>
      <w:pPr/>
      <w:r>
        <w:rPr/>
        <w:t xml:space="preserve">Puissance en mode continu: 4,6 W W</w:t>
      </w:r>
    </w:p>
    <w:p>
      <w:pPr/>
      <w:r>
        <w:rPr/>
        <w:t xml:space="preserve">Puissance en mode veille: 1,2 W W</w:t>
      </w:r>
    </w:p>
    <w:p>
      <w:pPr/>
      <w:r>
        <w:rPr/>
        <w:t xml:space="preserve">Flux lumineux en mode de secours: 360 lm lm</w:t>
      </w:r>
    </w:p>
    <w:p>
      <w:pPr/>
    </w:p>
    <w:p>
      <w:pPr/>
      <w:r>
        <w:rPr/>
        <w:t xml:space="preserve">Tension d'entrée AC: 230 V V</w:t>
      </w:r>
    </w:p>
    <w:p>
      <w:pPr/>
      <w:r>
        <w:rPr/>
        <w:t xml:space="preserve">Section de raccordement: 2.5 mm² mm</w:t>
      </w:r>
    </w:p>
    <w:p>
      <w:pPr/>
    </w:p>
    <w:p>
      <w:pPr/>
      <w:r>
        <w:rPr/>
        <w:t xml:space="preserve">Batterie: </w:t>
      </w:r>
    </w:p>
    <w:p>
      <w:pPr/>
    </w:p>
    <w:p>
      <w:pPr/>
      <w:r>
        <w:rPr/>
        <w:t xml:space="preserve">Numéro d'article: EAQL029ML</w:t>
      </w:r>
    </w:p>
    <w:p>
      <w:pPr/>
    </w:p>
    <w:p>
      <w:pPr/>
      <w:r>
        <w:rPr/>
        <w:t xml:space="preserve">Accessoires:</w:t>
      </w:r>
    </w:p>
    <w:p>
      <w:pPr/>
      <w:r>
        <w:rPr/>
        <w:t xml:space="preserve">Numéro d'article: ILD-APA-02,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5FD4A7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2026-11-08T06:03:17+01:00</dcterms:created>
  <dcterms:modified xsi:type="dcterms:W3CDTF">2026-11-08T06:03:17+01:00</dcterms:modified>
</cp:coreProperties>
</file>

<file path=docProps/custom.xml><?xml version="1.0" encoding="utf-8"?>
<Properties xmlns="http://schemas.openxmlformats.org/officeDocument/2006/custom-properties" xmlns:vt="http://schemas.openxmlformats.org/officeDocument/2006/docPropsVTypes"/>
</file>