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  </w:t>
      </w:r>
      <w:br/>
      <w:r>
        <w:rPr/>
        <w:t xml:space="preserve">Luminaire en plastique classique en forme de barre pour le montage au plafond. Les lignes droites ainsi que la construction robuste permettent une utilisation polyvalente. </w:t>
      </w:r>
      <w:br/>
      <w:r>
        <w:rPr/>
        <w:t xml:space="preserve">Convient à l'allumage permanent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93 mm x 390 mm x 139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Distance de reconnaissance: 16m m</w:t>
      </w:r>
    </w:p>
    <w:p>
      <w:pPr/>
      <w:r>
        <w:rPr/>
        <w:t xml:space="preserve">Pictogramme: Set</w:t>
      </w:r>
    </w:p>
    <w:p>
      <w:pPr/>
    </w:p>
    <w:p>
      <w:pPr/>
      <w:r>
        <w:rPr/>
        <w:t xml:space="preserve">Puissance en mode continu: 3,3 W W</w:t>
      </w:r>
    </w:p>
    <w:p>
      <w:pPr/>
      <w:r>
        <w:rPr/>
        <w:t xml:space="preserve">Puissance en mode veille: 0,4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LFPN3216.01-SET</w:t>
      </w:r>
    </w:p>
    <w:p>
      <w:pPr/>
    </w:p>
    <w:p>
      <w:pPr/>
      <w:r>
        <w:rPr/>
        <w:t xml:space="preserve">Numéro d'article: KWID413SC</w:t>
      </w:r>
    </w:p>
    <w:p>
      <w:pPr/>
    </w:p>
    <w:p>
      <w:pPr/>
      <w:r>
        <w:rPr/>
        <w:t xml:space="preserve">Accessoires:</w:t>
      </w:r>
    </w:p>
    <w:p>
      <w:pPr/>
      <w:r>
        <w:rPr/>
        <w:t xml:space="preserve">Numéro d'article: BKW,  </w:t>
      </w:r>
    </w:p>
    <w:p>
      <w:pPr/>
      <w:r>
        <w:rPr/>
        <w:t xml:space="preserve">Numéro d'article: LFP3216-SET-2AKKU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C7D75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2026-10-24T05:50:11+02:00</dcterms:created>
  <dcterms:modified xsi:type="dcterms:W3CDTF">2026-10-24T05:50:11+02:00</dcterms:modified>
</cp:coreProperties>
</file>

<file path=docProps/custom.xml><?xml version="1.0" encoding="utf-8"?>
<Properties xmlns="http://schemas.openxmlformats.org/officeDocument/2006/custom-properties" xmlns:vt="http://schemas.openxmlformats.org/officeDocument/2006/docPropsVTypes"/>
</file>