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w:t>
      </w:r>
      <w:br/>
      <w:r>
        <w:rPr/>
        <w:t xml:space="preserve">  </w:t>
      </w:r>
      <w:br/>
      <w:r>
        <w:rPr/>
        <w:t xml:space="preserve">Luminaire en plastique pour montage au plafond. Avec un capot trapézoïdal rétréci, fixé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152 mm x 370 mm x 195 mm</w:t>
      </w:r>
    </w:p>
    <w:p>
      <w:pPr/>
    </w:p>
    <w:p>
      <w:pPr/>
      <w:r>
        <w:rPr/>
        <w:t xml:space="preserve">Type de montage: Deckenaufbau</w:t>
      </w:r>
    </w:p>
    <w:p>
      <w:pPr/>
      <w:r>
        <w:rPr/>
        <w:t xml:space="preserve">Classe de protection: 1</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0,4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PFD413SC</w:t>
      </w:r>
    </w:p>
    <w:p>
      <w:pPr/>
    </w:p>
    <w:p>
      <w:pPr/>
      <w:r>
        <w:rPr/>
        <w:t xml:space="preserve">Accessoires:</w:t>
      </w:r>
    </w:p>
    <w:p>
      <w:pPr/>
      <w:r>
        <w:rPr/>
        <w:t xml:space="preserve">Numéro d'article: 2PW-EB,  </w:t>
      </w:r>
    </w:p>
    <w:p>
      <w:pPr/>
      <w:r>
        <w:rPr/>
        <w:t xml:space="preserve">Numéro d'article: 2DW-EB</w:t>
      </w:r>
    </w:p>
    <w:p>
      <w:pPr/>
      <w:r>
        <w:rPr/>
        <w:t xml:space="preserve">Numéro d'article: DSA, </w:t>
      </w:r>
    </w:p>
    <w:p>
      <w:pPr/>
      <w:r>
        <w:rPr/>
        <w:t xml:space="preserve">Numéro d'article: PFER,  </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51F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2026-07-15T06:51:09+02:00</dcterms:created>
  <dcterms:modified xsi:type="dcterms:W3CDTF">2026-07-15T06:51:09+02:00</dcterms:modified>
</cp:coreProperties>
</file>

<file path=docProps/custom.xml><?xml version="1.0" encoding="utf-8"?>
<Properties xmlns="http://schemas.openxmlformats.org/officeDocument/2006/custom-properties" xmlns:vt="http://schemas.openxmlformats.org/officeDocument/2006/docPropsVTypes"/>
</file>