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Lampe de sécurité robuste en zinc moulé sous pression pour montage mural selon DIN EN 60598-1, DIN EN 60598-2-22 et DIN EN 1838.</w:t>
      </w:r>
      <w:br/>
      <w:br/>
      <w:r>
        <w:rPr/>
        <w:t xml:space="preserve">Propriétés :</w:t>
      </w:r>
      <w:br/>
      <w:r>
        <w:rPr/>
        <w:t xml:space="preserve">- Mécaniquement robuste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Technique d'éclairage moderne</w:t>
      </w:r>
      <w:br/>
      <w:br/>
      <w:r>
        <w:rPr/>
        <w:t xml:space="preserve">Les possibilités d'utilisation sont :</w:t>
      </w:r>
      <w:br/>
      <w:r>
        <w:rPr/>
        <w:t xml:space="preserve">- Zones ouvertes, croisements de chemins de fuite</w:t>
      </w:r>
      <w:br/>
      <w:r>
        <w:rPr/>
        <w:t xml:space="preserve">- Espaces hauts, entrepôts</w:t>
      </w:r>
      <w:br/>
      <w:r>
        <w:rPr/>
        <w:t xml:space="preserve">- Distance luminaire - luminaire jusqu'à 25m.</w:t>
      </w:r>
      <w:br/>
      <w:br/>
      <w:r>
        <w:rPr/>
        <w:t xml:space="preserve">Convient à l'allumage permanent ou à l'allumage de veille.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9003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Type de montage: Deckenaufbau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5,2 W W</w:t>
      </w:r>
    </w:p>
    <w:p>
      <w:pPr/>
      <w:r>
        <w:rPr/>
        <w:t xml:space="preserve">Puissance en mode veille: 0,8 W W</w:t>
      </w:r>
    </w:p>
    <w:p>
      <w:pPr/>
      <w:r>
        <w:rPr/>
        <w:t xml:space="preserve">Flux lumineux en mode de secours: 520 lm lm</w:t>
      </w:r>
    </w:p>
    <w:p>
      <w:pPr/>
    </w:p>
    <w:p>
      <w:pPr/>
      <w:r>
        <w:rPr/>
        <w:t xml:space="preserve">Tension d'entrée AC: 250 V V</w:t>
      </w:r>
    </w:p>
    <w:p>
      <w:pPr/>
      <w:r>
        <w:rPr/>
        <w:t xml:space="preserve">Section de raccordement: 2,5 mm² mm</w:t>
      </w:r>
    </w:p>
    <w:p>
      <w:pPr/>
    </w:p>
    <w:p>
      <w:pPr/>
      <w:r>
        <w:rPr/>
        <w:t xml:space="preserve">Batterie: LFPN3233.01-SET</w:t>
      </w:r>
    </w:p>
    <w:p>
      <w:pPr/>
    </w:p>
    <w:p>
      <w:pPr/>
      <w:r>
        <w:rPr/>
        <w:t xml:space="preserve">Numéro d'article: FMDS423SC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FMDA001,  </w:t>
      </w:r>
    </w:p>
    <w:p>
      <w:pPr/>
      <w:r>
        <w:rPr/>
        <w:t xml:space="preserve">Numéro d'article: FMDA002,  </w:t>
      </w:r>
    </w:p>
    <w:p>
      <w:pPr/>
      <w:r>
        <w:rPr/>
        <w:t xml:space="preserve">Numéro d'article: FMDA001-AZ,  </w:t>
      </w:r>
    </w:p>
    <w:p>
      <w:pPr/>
      <w:r>
        <w:rPr/>
        <w:t xml:space="preserve">Numéro d'article: FMDA002-AZ,  </w:t>
      </w:r>
    </w:p>
    <w:p>
      <w:pPr/>
      <w:r>
        <w:rPr/>
        <w:t xml:space="preserve">Numéro d'article: FMWA001, </w:t>
      </w:r>
    </w:p>
    <w:p>
      <w:pPr/>
      <w:r>
        <w:rPr/>
        <w:t xml:space="preserve">Numéro d'article: FMFH,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D8B34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2026-07-10T05:42:32+02:00</dcterms:created>
  <dcterms:modified xsi:type="dcterms:W3CDTF">2026-07-10T05:42:32+02:00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