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300 mm x 300 mm x 110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0 °C à 40 °C °C</w:t>
      </w:r>
    </w:p>
    <w:p>
      <w:pPr/>
      <w:r>
        <w:rPr/>
        <w:t xml:space="preserve">Température permise en mode veille: 0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Einzeln n.A.</w:t>
      </w:r>
    </w:p>
    <w:p>
      <w:pPr/>
    </w:p>
    <w:p>
      <w:pPr/>
      <w:r>
        <w:rPr/>
        <w:t xml:space="preserve">Puissance en mode continu: 7 W W</w:t>
      </w:r>
    </w:p>
    <w:p>
      <w:pPr/>
      <w:r>
        <w:rPr/>
        <w:t xml:space="preserve">Puissance en mode veille: 2 W W</w:t>
      </w:r>
    </w:p>
    <w:p>
      <w:pPr/>
    </w:p>
    <w:p>
      <w:pPr/>
      <w:r>
        <w:rPr/>
        <w:t xml:space="preserve">Tension d'entrée AC: 250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Numéro d'article: WFXW413SC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LFP3233-SET-2AKKU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A7E68D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2026-09-13T06:06:57+02:00</dcterms:created>
  <dcterms:modified xsi:type="dcterms:W3CDTF">2026-09-13T06:06:57+02:00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