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w:t>
      </w:r>
      <w:br/>
      <w:br/>
      <w:r>
        <w:rPr/>
        <w:t xml:space="preserve">Luminaire cubique en plastique avec un capot sans cadre et un bac de montage dissimulé en tôle d'acier galvanisée. </w:t>
      </w:r>
      <w:br/>
      <w:r>
        <w:rPr/>
        <w:t xml:space="preserve"> </w:t>
      </w: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237 mm x 237 mm x 237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46m m</w:t>
      </w:r>
    </w:p>
    <w:p>
      <w:pPr/>
      <w:r>
        <w:rPr/>
        <w:t xml:space="preserve">Pictogramme: Set</w:t>
      </w:r>
    </w:p>
    <w:p>
      <w:pPr/>
    </w:p>
    <w:p>
      <w:pPr/>
      <w:r>
        <w:rPr/>
        <w:t xml:space="preserve">Puissance en mode continu: 5,6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WGW411SC</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71AB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2026-10-24T05:54:24+02:00</dcterms:created>
  <dcterms:modified xsi:type="dcterms:W3CDTF">2026-10-24T05:54:24+02:00</dcterms:modified>
</cp:coreProperties>
</file>

<file path=docProps/custom.xml><?xml version="1.0" encoding="utf-8"?>
<Properties xmlns="http://schemas.openxmlformats.org/officeDocument/2006/custom-properties" xmlns:vt="http://schemas.openxmlformats.org/officeDocument/2006/docPropsVTypes"/>
</file>