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5,3 W W</w:t>
      </w:r>
    </w:p>
    <w:p>
      <w:pPr/>
      <w:r>
        <w:rPr/>
        <w:t xml:space="preserve">Puissance en mode veille: 2 W W</w:t>
      </w:r>
    </w:p>
    <w:p>
      <w:pPr/>
      <w:r>
        <w:rPr/>
        <w:t xml:space="preserve">Flux lumineux en mode de secours: 250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PMD423SC</w:t>
      </w:r>
    </w:p>
    <w:p>
      <w:pPr/>
    </w:p>
    <w:p>
      <w:pPr/>
      <w:r>
        <w:rPr/>
        <w:t xml:space="preserve">Accessoires:</w:t>
      </w:r>
    </w:p>
    <w:p>
      <w:pPr/>
      <w:r>
        <w:rPr/>
        <w:t xml:space="preserve">Numéro d'article: PME,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DA7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2026-09-21T05:52:53+02:00</dcterms:created>
  <dcterms:modified xsi:type="dcterms:W3CDTF">2026-09-21T05:52:53+02:00</dcterms:modified>
</cp:coreProperties>
</file>

<file path=docProps/custom.xml><?xml version="1.0" encoding="utf-8"?>
<Properties xmlns="http://schemas.openxmlformats.org/officeDocument/2006/custom-properties" xmlns:vt="http://schemas.openxmlformats.org/officeDocument/2006/docPropsVTypes"/>
</file>