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afin d'éclairer de manière optimale les issues de secours et les voies d'évacuation, par exemple en cas de montage mural. Version en blanc.</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5,9 W W</w:t>
      </w:r>
    </w:p>
    <w:p>
      <w:pPr/>
      <w:r>
        <w:rPr/>
        <w:t xml:space="preserve">Puissance en mode veille: 2 W W</w:t>
      </w:r>
    </w:p>
    <w:p>
      <w:pPr/>
      <w:r>
        <w:rPr/>
        <w:t xml:space="preserve">Flux lumineux en mode de secours: 470 lm lm</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QCW421SC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A9F03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2026-10-19T16:29:02+02:00</dcterms:created>
  <dcterms:modified xsi:type="dcterms:W3CDTF">2026-10-19T16:29:02+02:00</dcterms:modified>
</cp:coreProperties>
</file>

<file path=docProps/custom.xml><?xml version="1.0" encoding="utf-8"?>
<Properties xmlns="http://schemas.openxmlformats.org/officeDocument/2006/custom-properties" xmlns:vt="http://schemas.openxmlformats.org/officeDocument/2006/docPropsVTypes"/>
</file>