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-10 °C à 40 °C °C</w:t>
      </w:r>
    </w:p>
    <w:p>
      <w:pPr/>
      <w:r>
        <w:rPr/>
        <w:t xml:space="preserve">Température permise en mode veille: -5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LFP3216.01, {{Produkt - BatteryPerformance - BatteryTechnology (P:17:110)}} Batterie</w:t>
      </w:r>
    </w:p>
    <w:p>
      <w:pPr/>
    </w:p>
    <w:p>
      <w:pPr/>
      <w:r>
        <w:rPr/>
        <w:t xml:space="preserve">Numéro d'article: KMB411WB</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r>
        <w:rPr/>
        <w:t xml:space="preserve">Numéro d'article: LFPN3216.01</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D177D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2026-10-24T05:59:51+02:00</dcterms:created>
  <dcterms:modified xsi:type="dcterms:W3CDTF">2026-10-24T05:59:51+02:00</dcterms:modified>
</cp:coreProperties>
</file>

<file path=docProps/custom.xml><?xml version="1.0" encoding="utf-8"?>
<Properties xmlns="http://schemas.openxmlformats.org/officeDocument/2006/custom-properties" xmlns:vt="http://schemas.openxmlformats.org/officeDocument/2006/docPropsVTypes"/>
</file>