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LFP3216.01, {{Produkt - BatteryPerformance - BatteryTechnology (P:17:110)}} Batterie</w:t>
      </w:r>
    </w:p>
    <w:p>
      <w:pPr/>
    </w:p>
    <w:p>
      <w:pPr/>
      <w:r>
        <w:rPr/>
        <w:t xml:space="preserve">Numéro d'article: KMB411SC-SW</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3800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2026-10-24T05:53:32+02:00</dcterms:created>
  <dcterms:modified xsi:type="dcterms:W3CDTF">2026-10-24T05:53:32+02:00</dcterms:modified>
</cp:coreProperties>
</file>

<file path=docProps/custom.xml><?xml version="1.0" encoding="utf-8"?>
<Properties xmlns="http://schemas.openxmlformats.org/officeDocument/2006/custom-properties" xmlns:vt="http://schemas.openxmlformats.org/officeDocument/2006/docPropsVTypes"/>
</file>