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plastique pour l'éclairage général et l'éclairage des voies d'évacuation et de secours selon les normes DIN EN 60598-1, DIN EN 60598-2-22 et DIN EN 1838.</w:t>
      </w:r>
      <w:br/>
      <w:br/>
      <w:r>
        <w:rPr/>
        <w:t xml:space="preserve">Dans un design intemporel, convient pour une utilisation en intérieur. La LED d'éclairage de secours peut être dépliée sans outil lors du montage pour éclairer de manière optimale les issues de secours et les voies d'évacuation, par exemple en cas de montage mural.</w:t>
      </w:r>
      <w:br/>
      <w:r>
        <w:rPr/>
        <w:t xml:space="preserve">Version en blanc.</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339 mm</w:t>
      </w:r>
    </w:p>
    <w:p>
      <w:pPr/>
    </w:p>
    <w:p>
      <w:pPr/>
      <w:r>
        <w:rPr/>
        <w:t xml:space="preserve">Type de montage: Universal</w:t>
      </w:r>
    </w:p>
    <w:p>
      <w:pPr/>
      <w:r>
        <w:rPr/>
        <w:t xml:space="preserve">Classe de protection: 2</w:t>
      </w:r>
    </w:p>
    <w:p>
      <w:pPr/>
      <w:r>
        <w:rPr/>
        <w:t xml:space="preserve">Indice de protection (IP): IP 44</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17,7 W W</w:t>
      </w:r>
    </w:p>
    <w:p>
      <w:pPr/>
      <w:r>
        <w:rPr/>
        <w:t xml:space="preserve">Puissance en mode veille: 1,4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QBW423SC-BM</w:t>
      </w:r>
    </w:p>
    <w:p>
      <w:pPr/>
    </w:p>
    <w:p>
      <w:pPr/>
      <w:r>
        <w:rPr/>
        <w:t xml:space="preserve">Accessoires:</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4C54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2026-09-24T05:54:22+02:00</dcterms:created>
  <dcterms:modified xsi:type="dcterms:W3CDTF">2026-09-24T05:54:22+02:00</dcterms:modified>
</cp:coreProperties>
</file>

<file path=docProps/custom.xml><?xml version="1.0" encoding="utf-8"?>
<Properties xmlns="http://schemas.openxmlformats.org/officeDocument/2006/custom-properties" xmlns:vt="http://schemas.openxmlformats.org/officeDocument/2006/docPropsVTypes"/>
</file>