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pour montage mural ou au plafond, avec capot sécurisé par des vis.</w:t>
      </w:r>
      <w:br/>
      <w:r>
        <w:rPr/>
        <w:t xml:space="preserve">Convient pour un 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150 mm x 365 mm x 110 mm</w:t>
      </w:r>
    </w:p>
    <w:p>
      <w:pPr/>
    </w:p>
    <w:p>
      <w:pPr/>
      <w:r>
        <w:rPr/>
        <w:t xml:space="preserve">Type de montage: Wandaufbau</w:t>
      </w:r>
    </w:p>
    <w:p>
      <w:pPr/>
      <w:r>
        <w:rPr/>
        <w:t xml:space="preserve">Classe de protection: 1</w:t>
      </w:r>
    </w:p>
    <w:p>
      <w:pPr/>
      <w:r>
        <w:rPr/>
        <w:t xml:space="preserve">Indice de protection (IP): IP 65</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PFW413SC-P</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F1D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2026-09-20T06:57:55+02:00</dcterms:created>
  <dcterms:modified xsi:type="dcterms:W3CDTF">2026-09-20T06:57:55+02:00</dcterms:modified>
</cp:coreProperties>
</file>

<file path=docProps/custom.xml><?xml version="1.0" encoding="utf-8"?>
<Properties xmlns="http://schemas.openxmlformats.org/officeDocument/2006/custom-properties" xmlns:vt="http://schemas.openxmlformats.org/officeDocument/2006/docPropsVTypes"/>
</file>