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pour montage mural ou au plafond, avec capot sécurisé par des vis.</w:t>
      </w:r>
      <w:br/>
      <w:r>
        <w:rPr/>
        <w:t xml:space="preserve">Convient pour un 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150 mm x 365 mm x 110 mm</w:t>
      </w:r>
    </w:p>
    <w:p>
      <w:pPr/>
    </w:p>
    <w:p>
      <w:pPr/>
      <w:r>
        <w:rPr/>
        <w:t xml:space="preserve">Type de montage: Wandaufbau</w:t>
      </w:r>
    </w:p>
    <w:p>
      <w:pPr/>
      <w:r>
        <w:rPr/>
        <w:t xml:space="preserve">Classe de protection: 1</w:t>
      </w:r>
    </w:p>
    <w:p>
      <w:pPr/>
      <w:r>
        <w:rPr/>
        <w:t xml:space="preserve">Indice de protection (IP): IP 65</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PFW413SC-P</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3E5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2026-10-23T07:04:53+02:00</dcterms:created>
  <dcterms:modified xsi:type="dcterms:W3CDTF">2026-10-23T07:04:53+02:00</dcterms:modified>
</cp:coreProperties>
</file>

<file path=docProps/custom.xml><?xml version="1.0" encoding="utf-8"?>
<Properties xmlns="http://schemas.openxmlformats.org/officeDocument/2006/custom-properties" xmlns:vt="http://schemas.openxmlformats.org/officeDocument/2006/docPropsVTypes"/>
</file>