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pour l'éclairage des voies d'évacuation et de secours selon les normes DIN EN 60598-1, DIN EN 60598-2-22 et DIN EN 1838.</w:t>
      </w:r>
      <w:br/>
      <w:br/>
      <w:r>
        <w:rPr/>
        <w:t xml:space="preserve">Luminaire de sécurité compact en forme de barre en plastique avec un capot plat transparent, pour un montage mural ou au plafond. En option, le luminaire peut être encastré dans le plafond avec un cadre d'encastrement.</w:t>
      </w:r>
      <w:br/>
      <w:r>
        <w:rPr/>
        <w:t xml:space="preserve">Les lentilles de diffusion intégrées dans le capot permettent d'obtenir une répartition optimale de la lumière et un éclairage des voies d'évacuation et de sauvetage.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250 mm x 34 mm x 50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-25 °C à 40 °C °C</w:t>
      </w:r>
    </w:p>
    <w:p>
      <w:pPr/>
      <w:r>
        <w:rPr/>
        <w:t xml:space="preserve">Température permise en mode veille: -25 °C à 40 °C °C</w:t>
      </w:r>
    </w:p>
    <w:p>
      <w:pPr/>
      <w:r>
        <w:rPr/>
        <w:t xml:space="preserve">Pictogramme: Nein</w:t>
      </w:r>
    </w:p>
    <w:p>
      <w:pPr/>
    </w:p>
    <w:p>
      <w:pPr/>
      <w:r>
        <w:rPr/>
        <w:t xml:space="preserve">Puissance en mode continu: 3,9 W W</w:t>
      </w:r>
    </w:p>
    <w:p>
      <w:pPr/>
      <w:r>
        <w:rPr/>
        <w:t xml:space="preserve">Puissance en mode veille: 1,5 W W</w:t>
      </w:r>
    </w:p>
    <w:p>
      <w:pPr/>
      <w:r>
        <w:rPr/>
        <w:t xml:space="preserve">Flux lumineux en mode de secours: 85 lm lm</w:t>
      </w:r>
    </w:p>
    <w:p>
      <w:pPr/>
    </w:p>
    <w:p>
      <w:pPr/>
      <w:r>
        <w:rPr/>
        <w:t xml:space="preserve">Tension d'entrée AC: 230 V V</w:t>
      </w:r>
    </w:p>
    <w:p>
      <w:pPr/>
      <w:r>
        <w:rPr/>
        <w:t xml:space="preserve">Section de raccordement: 2.5 mm² mm</w:t>
      </w:r>
    </w:p>
    <w:p>
      <w:pPr/>
    </w:p>
    <w:p>
      <w:pPr/>
      <w:r>
        <w:rPr/>
        <w:t xml:space="preserve">Batterie: LFP3233.01-TT, {{Produkt - BatteryPerformance - BatteryTechnology (P:17:110)}} Batterie</w:t>
      </w:r>
    </w:p>
    <w:p>
      <w:pPr/>
    </w:p>
    <w:p>
      <w:pPr/>
      <w:r>
        <w:rPr/>
        <w:t xml:space="preserve">Numéro d'article: KMB418SC-TT</w:t>
      </w:r>
    </w:p>
    <w:p>
      <w:pPr/>
    </w:p>
    <w:p>
      <w:pPr/>
      <w:r>
        <w:rPr/>
        <w:t xml:space="preserve">Accessoires:</w:t>
      </w:r>
    </w:p>
    <w:p>
      <w:pPr/>
      <w:r>
        <w:rPr/>
        <w:t xml:space="preserve">Numéro d'article: KME-EB,  </w:t>
      </w:r>
    </w:p>
    <w:p>
      <w:pPr/>
      <w:r>
        <w:rPr/>
        <w:t xml:space="preserve">Numéro d'article: BALL1,  </w:t>
      </w:r>
    </w:p>
    <w:p>
      <w:pPr/>
      <w:r>
        <w:rPr/>
        <w:t xml:space="preserve">Numéro d'article: KMBE,  </w:t>
      </w:r>
    </w:p>
    <w:p>
      <w:pPr/>
      <w:r>
        <w:rPr/>
        <w:t xml:space="preserve">Numéro d'article: BALLPLX-KMB, </w:t>
      </w:r>
    </w:p>
    <w:p>
      <w:pPr/>
      <w:r>
        <w:rPr/>
        <w:t xml:space="preserve">Numéro d'article: KMBFH, </w:t>
      </w:r>
    </w:p>
    <w:p>
      <w:pPr/>
      <w:r>
        <w:rPr/>
        <w:t xml:space="preserve">Numéro d'article: LFPN3233.01-TT</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893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2026-07-10T12:25:59+02:00</dcterms:created>
  <dcterms:modified xsi:type="dcterms:W3CDTF">2026-07-10T12:25:59+02:00</dcterms:modified>
</cp:coreProperties>
</file>

<file path=docProps/custom.xml><?xml version="1.0" encoding="utf-8"?>
<Properties xmlns="http://schemas.openxmlformats.org/officeDocument/2006/custom-properties" xmlns:vt="http://schemas.openxmlformats.org/officeDocument/2006/docPropsVTypes"/>
</file>