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35 °C °C</w:t>
      </w:r>
    </w:p>
    <w:p>
      <w:pPr/>
      <w:r>
        <w:rPr/>
        <w:t xml:space="preserve">Température permise en mode veille: 0 °C à 35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 W W</w:t>
      </w:r>
    </w:p>
    <w:p>
      <w:pPr/>
      <w:r>
        <w:rPr/>
        <w:t xml:space="preserve">Puissance en mode veille: 0,3 W W</w:t>
      </w:r>
    </w:p>
    <w:p>
      <w:pPr/>
    </w:p>
    <w:p>
      <w:pPr/>
      <w:r>
        <w:rPr/>
        <w:t xml:space="preserve">Section de raccordement: 1,5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KAXK403SC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B2BC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2026-07-10T14:12:18+02:00</dcterms:created>
  <dcterms:modified xsi:type="dcterms:W3CDTF">2026-07-10T14:12:18+02:00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