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3,9 W W</w:t>
      </w:r>
    </w:p>
    <w:p>
      <w:pPr/>
      <w:r>
        <w:rPr/>
        <w:t xml:space="preserve">Puissance en mode veille: 2 W W</w:t>
      </w:r>
    </w:p>
    <w:p>
      <w:pPr/>
      <w:r>
        <w:rPr/>
        <w:t xml:space="preserve">Flux lumineux en mode de secours: 210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PMW428SC-TT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576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2026-10-14T05:58:45+02:00</dcterms:created>
  <dcterms:modified xsi:type="dcterms:W3CDTF">2026-10-14T05:58:45+02:00</dcterms:modified>
</cp:coreProperties>
</file>

<file path=docProps/custom.xml><?xml version="1.0" encoding="utf-8"?>
<Properties xmlns="http://schemas.openxmlformats.org/officeDocument/2006/custom-properties" xmlns:vt="http://schemas.openxmlformats.org/officeDocument/2006/docPropsVTypes"/>
</file>