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 mm x 237 mm x 237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3,9 W W</w:t>
      </w:r>
    </w:p>
    <w:p>
      <w:pPr/>
      <w:r>
        <w:rPr/>
        <w:t xml:space="preserve">Puissance en mode veille: 2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WGW418SC</w:t>
      </w:r>
    </w:p>
    <w:p>
      <w:pPr/>
    </w:p>
    <w:p>
      <w:pPr/>
      <w:r>
        <w:rPr/>
        <w:t xml:space="preserve">Accessoires:</w:t>
      </w:r>
    </w:p>
    <w:p>
      <w:pPr/>
      <w:r>
        <w:rPr/>
        <w:t xml:space="preserve">Numéro d'article: WKO,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A29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2026-09-13T05:58:38+02:00</dcterms:created>
  <dcterms:modified xsi:type="dcterms:W3CDTF">2026-09-13T05:58:38+02:00</dcterms:modified>
</cp:coreProperties>
</file>

<file path=docProps/custom.xml><?xml version="1.0" encoding="utf-8"?>
<Properties xmlns="http://schemas.openxmlformats.org/officeDocument/2006/custom-properties" xmlns:vt="http://schemas.openxmlformats.org/officeDocument/2006/docPropsVTypes"/>
</file>