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237 mm x 237 mm x 237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3,9 W W</w:t>
      </w:r>
    </w:p>
    <w:p>
      <w:pPr/>
      <w:r>
        <w:rPr/>
        <w:t xml:space="preserve">Puissance en mode veille: 2 W W</w:t>
      </w:r>
    </w:p>
    <w:p>
      <w:pPr/>
      <w:r>
        <w:rPr/>
        <w:t xml:space="preserve">Flux lumineux en mode de secours: 190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WGW418SC</w:t>
      </w:r>
    </w:p>
    <w:p>
      <w:pPr/>
    </w:p>
    <w:p>
      <w:pPr/>
      <w:r>
        <w:rPr/>
        <w:t xml:space="preserve">Accessoires:</w:t>
      </w:r>
    </w:p>
    <w:p>
      <w:pPr/>
      <w:r>
        <w:rPr/>
        <w:t xml:space="preserve">Numéro d'article: WKO,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F1A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2026-07-15T05:55:59+02:00</dcterms:created>
  <dcterms:modified xsi:type="dcterms:W3CDTF">2026-07-15T05:55:59+02:00</dcterms:modified>
</cp:coreProperties>
</file>

<file path=docProps/custom.xml><?xml version="1.0" encoding="utf-8"?>
<Properties xmlns="http://schemas.openxmlformats.org/officeDocument/2006/custom-properties" xmlns:vt="http://schemas.openxmlformats.org/officeDocument/2006/docPropsVTypes"/>
</file>