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de sécurité à LED à monter au plafond pour l'éclairage des issues de secours selon les normes DIN EN 60598-1, DIN EN 60598-2-22 et DIN EN 1838. </w:t>
      </w:r>
      <w:br/>
      <w:r>
        <w:rPr/>
        <w:t xml:space="preserve">  </w:t>
      </w:r>
      <w:br/>
      <w:r>
        <w:rPr/>
        <w:t xml:space="preserve">Le design du luminaire IL séduit par son élégance intemporelle. Le plafonnier apparent est équipé d'un nouveau mécanisme de montage au plafond qui permet de gagner un temps considérable. Le luminaire se compose de deux parties seulement, la plaque de montage contenant les bornes de raccordement au réseau. Le luminaire proprement dit est monté sans outil et est hors tension lors du démontage.</w:t>
      </w:r>
      <w:br/>
      <w:r>
        <w:rPr/>
        <w:t xml:space="preserve">La technique d'éclairage moderne est particulièrement performante. De grandes distances de montage sont réalisables à tout moment. </w:t>
      </w:r>
      <w:br/>
      <w:br/>
      <w:r>
        <w:rPr/>
        <w:t xml:space="preserve">La caractéristique de rayonnement est ronde à symétrie de révolution.</w:t>
      </w:r>
    </w:p>
    <w:p>
      <w:pPr/>
    </w:p>
    <w:p>
      <w:pPr/>
      <w:r>
        <w:rPr/>
        <w:t xml:space="preserve">Surveillance: </w:t>
      </w:r>
    </w:p>
    <w:p>
      <w:pPr/>
      <w:r>
        <w:rPr/>
        <w:t xml:space="preserve">With integrated monitoring module for operating on a Wireless Professional central monitoring system.</w:t>
      </w:r>
    </w:p>
    <w:p>
      <w:pPr>
        <w:numPr>
          <w:ilvl w:val="0"/>
          <w:numId w:val="2"/>
        </w:numPr>
      </w:pPr>
      <w:r>
        <w:rPr/>
        <w:t xml:space="preserve">Charge monitoring indicator on the luminaire</w:t>
      </w:r>
    </w:p>
    <w:p>
      <w:pPr>
        <w:numPr>
          <w:ilvl w:val="0"/>
          <w:numId w:val="2"/>
        </w:numPr>
      </w:pPr>
      <w:r>
        <w:rPr/>
        <w:t xml:space="preserve">Manual or automatic function test (free choice of test start time in the WirelessControl software)</w:t>
      </w:r>
    </w:p>
    <w:p>
      <w:pPr>
        <w:numPr>
          <w:ilvl w:val="0"/>
          <w:numId w:val="2"/>
        </w:numPr>
      </w:pPr>
      <w:r>
        <w:rPr/>
        <w:t xml:space="preserve">Manual or automatic continuous function test can be activated via the length of the luminaire’s measurement operation (free choice of test start times in the WirelessControl software)</w:t>
      </w:r>
    </w:p>
    <w:p>
      <w:pPr>
        <w:numPr>
          <w:ilvl w:val="0"/>
          <w:numId w:val="2"/>
        </w:numPr>
      </w:pPr>
      <w:r>
        <w:rPr/>
        <w:t xml:space="preserve">Automatic charge monitoring</w:t>
      </w:r>
    </w:p>
    <w:p>
      <w:pPr>
        <w:numPr>
          <w:ilvl w:val="0"/>
          <w:numId w:val="2"/>
        </w:numPr>
      </w:pPr>
      <w:r>
        <w:rPr/>
        <w:t xml:space="preserve">Deep discharge protection with restart inhibit</w:t>
      </w:r>
    </w:p>
    <w:p>
      <w:pPr/>
      <w:r>
        <w:rPr/>
        <w:t xml:space="preserve">Matériau: Matière plastique</w:t>
      </w:r>
    </w:p>
    <w:p>
      <w:pPr/>
      <w:r>
        <w:rPr/>
        <w:t xml:space="preserve">Couleur: RAL 9003</w:t>
      </w:r>
    </w:p>
    <w:p>
      <w:pPr/>
      <w:r>
        <w:rPr/>
        <w:t xml:space="preserve">Diamètre: 100 mm</w:t>
      </w:r>
    </w:p>
    <w:p>
      <w:pPr/>
    </w:p>
    <w:p>
      <w:pPr/>
      <w:r>
        <w:rPr/>
        <w:t xml:space="preserve">Type de montage: Deckenaufbau</w:t>
      </w:r>
    </w:p>
    <w:p>
      <w:pPr/>
      <w:r>
        <w:rPr/>
        <w:t xml:space="preserve">Classe de protection: 2</w:t>
      </w:r>
    </w:p>
    <w:p>
      <w:pPr/>
      <w:r>
        <w:rPr/>
        <w:t xml:space="preserve">Indice de protection (IP): IP 40</w:t>
      </w:r>
    </w:p>
    <w:p>
      <w:pPr/>
      <w:r>
        <w:rPr/>
        <w:t xml:space="preserve">Degré de résistance aux chocs IK: IK ≥ 3</w:t>
      </w:r>
    </w:p>
    <w:p>
      <w:pPr/>
      <w:r>
        <w:rPr/>
        <w:t xml:space="preserve">Température permise en mode contenu: -15 °C à 40 °C °C</w:t>
      </w:r>
    </w:p>
    <w:p>
      <w:pPr/>
      <w:r>
        <w:rPr/>
        <w:t xml:space="preserve">Température permise en mode veille: -15 °C à 40 °C °C</w:t>
      </w:r>
    </w:p>
    <w:p>
      <w:pPr/>
    </w:p>
    <w:p>
      <w:pPr/>
      <w:r>
        <w:rPr/>
        <w:t xml:space="preserve">Puissance en mode continu: 2,3 W W</w:t>
      </w:r>
    </w:p>
    <w:p>
      <w:pPr/>
      <w:r>
        <w:rPr/>
        <w:t xml:space="preserve">Puissance en mode veille: 0,4 W W</w:t>
      </w:r>
    </w:p>
    <w:p>
      <w:pPr/>
      <w:r>
        <w:rPr/>
        <w:t xml:space="preserve">Flux lumineux en mode de secours: 250 lm lm</w:t>
      </w:r>
    </w:p>
    <w:p>
      <w:pPr/>
    </w:p>
    <w:p>
      <w:pPr/>
      <w:r>
        <w:rPr/>
        <w:t xml:space="preserve">Tension d'entrée AC: 230 V V</w:t>
      </w:r>
    </w:p>
    <w:p>
      <w:pPr/>
      <w:r>
        <w:rPr/>
        <w:t xml:space="preserve">Section de raccordement: 2.5 mm² mm</w:t>
      </w:r>
    </w:p>
    <w:p>
      <w:pPr/>
    </w:p>
    <w:p>
      <w:pPr/>
      <w:r>
        <w:rPr/>
        <w:t xml:space="preserve">Batterie: LFPN3233.01-TT</w:t>
      </w:r>
    </w:p>
    <w:p>
      <w:pPr/>
    </w:p>
    <w:p>
      <w:pPr/>
      <w:r>
        <w:rPr/>
        <w:t xml:space="preserve">Numéro d'article: ILDL421WL-TT</w:t>
      </w:r>
    </w:p>
    <w:p>
      <w:pPr/>
    </w:p>
    <w:p>
      <w:pPr/>
      <w:r>
        <w:rPr/>
        <w:t xml:space="preserve">Accessoires:</w:t>
      </w:r>
    </w:p>
    <w:p>
      <w:pPr/>
      <w:r>
        <w:rPr/>
        <w:t xml:space="preserve">Numéro d'article: ILD-APA-02, </w:t>
      </w:r>
    </w:p>
    <w:p>
      <w:pPr/>
      <w:r>
        <w:rPr/>
        <w:t xml:space="preserve">Numéro d'article: IL-IK10-AZ, </w:t>
      </w:r>
    </w:p>
    <w:p>
      <w:pPr/>
      <w:r>
        <w:rPr/>
        <w:t xml:space="preserve">Numéro d'article: IL-IK10-W, </w:t>
      </w:r>
    </w:p>
    <w:p>
      <w:pPr/>
      <w:r>
        <w:rPr/>
        <w:t xml:space="preserve">Numéro d'article: ILDE, </w:t>
      </w:r>
    </w:p>
    <w:p>
      <w:pPr/>
      <w:r>
        <w:rPr/>
        <w:t xml:space="preserve">Numéro d'article: ILB1,  </w:t>
      </w:r>
    </w:p>
    <w:p>
      <w:pPr/>
      <w:r>
        <w:rPr/>
        <w:t xml:space="preserve">Numéro d'article: ILB2,  </w:t>
      </w:r>
    </w:p>
    <w:p>
      <w:pPr/>
      <w:r>
        <w:rPr/>
        <w:t xml:space="preserve">Numéro d'article: BALLPLX-ILD, </w:t>
      </w:r>
    </w:p>
    <w:p>
      <w:pPr/>
      <w:r>
        <w:rPr/>
        <w:t xml:space="preserve">Numéro d'article: IL-IP65-K, </w:t>
      </w:r>
    </w:p>
    <w:p>
      <w:pPr/>
      <w:r>
        <w:rPr/>
        <w:t xml:space="preserve">Numéro d'article: LSYS-B4, </w:t>
      </w:r>
    </w:p>
    <w:p>
      <w:pPr/>
      <w:r>
        <w:rPr/>
        <w:t xml:space="preserve">Numéro d'article: LSYS-F4, </w:t>
      </w:r>
    </w:p>
    <w:p>
      <w:pPr/>
      <w:r>
        <w:rPr/>
        <w:t xml:space="preserve">Numéro d'article: LSYS-R4, </w:t>
      </w:r>
    </w:p>
    <w:p>
      <w:pPr/>
      <w:r>
        <w:rPr/>
        <w:t xml:space="preserve">Numéro d'article: LSYS-S4, </w:t>
      </w:r>
    </w:p>
    <w:p>
      <w:pPr/>
      <w:r>
        <w:rPr/>
        <w:t xml:space="preserve">Numéro d'article: LSYS-WD4, </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FBB1EDE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2026-08-27T06:50:17+02:00</dcterms:created>
  <dcterms:modified xsi:type="dcterms:W3CDTF">2026-08-27T06:50:17+02:00</dcterms:modified>
</cp:coreProperties>
</file>

<file path=docProps/custom.xml><?xml version="1.0" encoding="utf-8"?>
<Properties xmlns="http://schemas.openxmlformats.org/officeDocument/2006/custom-properties" xmlns:vt="http://schemas.openxmlformats.org/officeDocument/2006/docPropsVTypes"/>
</file>