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au plafond. Luminaire à pictogramme avec jeu de pictogrammes enfichables, sans solvant, à l'intérieur (gauche, droite, bas, haut), compris dans la livraison standard.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-15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5,7 W W</w:t>
      </w:r>
    </w:p>
    <w:p>
      <w:pPr/>
      <w:r>
        <w:rPr/>
        <w:t xml:space="preserve">Puissance en mode veille: 2 W W</w:t>
      </w:r>
    </w:p>
    <w:p>
      <w:pPr/>
      <w:r>
        <w:rPr/>
        <w:t xml:space="preserve">Flux lumineux en mode de secours: 320 lm lm</w:t>
      </w:r>
    </w:p>
    <w:p>
      <w:pPr/>
    </w:p>
    <w:p>
      <w:pPr/>
      <w:r>
        <w:rPr/>
        <w:t xml:space="preserve">Tension d'entrée AC: 250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Numéro d'article: KCD413SC-TT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KCAWW,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WKL,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21DC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2026-07-21T06:51:18+02:00</dcterms:created>
  <dcterms:modified xsi:type="dcterms:W3CDTF">2026-07-21T06:51:18+02:00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